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4B" w:rsidRDefault="00AF5E4B" w:rsidP="00B42E8B">
      <w:bookmarkStart w:id="0" w:name="_GoBack"/>
      <w:bookmarkEnd w:id="0"/>
    </w:p>
    <w:p w:rsidR="002F684A" w:rsidRPr="002F684A" w:rsidRDefault="002F684A" w:rsidP="00B42E8B">
      <w:r w:rsidRPr="002F684A">
        <w:t>AUTHORITY:  Authorized by Sec</w:t>
      </w:r>
      <w:r w:rsidR="001833C7">
        <w:t>tion</w:t>
      </w:r>
      <w:r w:rsidRPr="002F684A">
        <w:t xml:space="preserve"> 15 of the Sex Offender Management Board Act [20 ILCS 4026/15] and implementing Section</w:t>
      </w:r>
      <w:r w:rsidR="00064AAF">
        <w:t>s</w:t>
      </w:r>
      <w:r w:rsidRPr="002F684A">
        <w:t xml:space="preserve"> </w:t>
      </w:r>
      <w:r w:rsidR="004F3F6A">
        <w:t>15 through 18</w:t>
      </w:r>
      <w:r w:rsidRPr="002F684A">
        <w:t xml:space="preserve"> of </w:t>
      </w:r>
      <w:r w:rsidR="00D0783C">
        <w:t>the</w:t>
      </w:r>
      <w:r w:rsidRPr="002F684A">
        <w:t xml:space="preserve"> Act; Section 8 of the Sexually Dangerous Persons Act [725 ILCS 205/8]; Sections 10(c)(2), 25(e), 30(c), 40(b)(1), 55(b), 60(c) and 65(a)(2) and (b)(2) of the Sexually Violent Persons Commitment Act [725 ILCS 207/10(c)(2), 25(e), 30(c), 40(b)(1), 55(b), 60(c)</w:t>
      </w:r>
      <w:r w:rsidR="00064AAF">
        <w:t>,</w:t>
      </w:r>
      <w:r w:rsidRPr="002F684A">
        <w:t xml:space="preserve"> and 65(a)(2) and (b)(2)]; and Sections 3-3-7(a)(7.5), 3-6-2(j) and (k), 3-9-7(b), 5-3-2(b-5), 5-6-3(a)(8.5) and 5-7-1(f-5) of the Unified Code of Corrections [730 ILCS 5/3-3-7(a)(7.5), 3-6-2(j) and (k), 3-9-7(b), 5-3-2(b-5), 5-6-3(a)(8.5) and 5-7-1(f-5)].</w:t>
      </w:r>
    </w:p>
    <w:sectPr w:rsidR="002F684A" w:rsidRPr="002F684A" w:rsidSect="00B42E8B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D1B" w:rsidRDefault="00247D1B">
      <w:r>
        <w:separator/>
      </w:r>
    </w:p>
  </w:endnote>
  <w:endnote w:type="continuationSeparator" w:id="0">
    <w:p w:rsidR="00247D1B" w:rsidRDefault="0024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D1B" w:rsidRDefault="00247D1B">
      <w:r>
        <w:separator/>
      </w:r>
    </w:p>
  </w:footnote>
  <w:footnote w:type="continuationSeparator" w:id="0">
    <w:p w:rsidR="00247D1B" w:rsidRDefault="00247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4AAF"/>
    <w:rsid w:val="000B4143"/>
    <w:rsid w:val="000D225F"/>
    <w:rsid w:val="0014640C"/>
    <w:rsid w:val="00150267"/>
    <w:rsid w:val="001833C7"/>
    <w:rsid w:val="001C7D95"/>
    <w:rsid w:val="001E3074"/>
    <w:rsid w:val="00225354"/>
    <w:rsid w:val="00247D1B"/>
    <w:rsid w:val="00250E47"/>
    <w:rsid w:val="002524EC"/>
    <w:rsid w:val="002A643F"/>
    <w:rsid w:val="002F684A"/>
    <w:rsid w:val="00337CEB"/>
    <w:rsid w:val="00367A2E"/>
    <w:rsid w:val="003951B7"/>
    <w:rsid w:val="003F3A28"/>
    <w:rsid w:val="003F5FD7"/>
    <w:rsid w:val="00406338"/>
    <w:rsid w:val="00431CFE"/>
    <w:rsid w:val="004461A1"/>
    <w:rsid w:val="004D5CD6"/>
    <w:rsid w:val="004D73D3"/>
    <w:rsid w:val="004F3F6A"/>
    <w:rsid w:val="005001C5"/>
    <w:rsid w:val="005022AB"/>
    <w:rsid w:val="0052308E"/>
    <w:rsid w:val="00530BE1"/>
    <w:rsid w:val="00542E97"/>
    <w:rsid w:val="0056157E"/>
    <w:rsid w:val="0056501E"/>
    <w:rsid w:val="005B54CF"/>
    <w:rsid w:val="005F4571"/>
    <w:rsid w:val="005F545B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AF5E4B"/>
    <w:rsid w:val="00B07E7E"/>
    <w:rsid w:val="00B31598"/>
    <w:rsid w:val="00B3219C"/>
    <w:rsid w:val="00B35D67"/>
    <w:rsid w:val="00B42E8B"/>
    <w:rsid w:val="00B516F7"/>
    <w:rsid w:val="00B66925"/>
    <w:rsid w:val="00B71177"/>
    <w:rsid w:val="00B876EC"/>
    <w:rsid w:val="00BF5EF1"/>
    <w:rsid w:val="00C4537A"/>
    <w:rsid w:val="00C94794"/>
    <w:rsid w:val="00CC0660"/>
    <w:rsid w:val="00CC13F9"/>
    <w:rsid w:val="00CD3723"/>
    <w:rsid w:val="00D0783C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