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9F" w:rsidRDefault="0019019F" w:rsidP="001901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019F" w:rsidRDefault="0019019F" w:rsidP="0019019F">
      <w:pPr>
        <w:widowControl w:val="0"/>
        <w:autoSpaceDE w:val="0"/>
        <w:autoSpaceDN w:val="0"/>
        <w:adjustRightInd w:val="0"/>
      </w:pPr>
      <w:r>
        <w:t xml:space="preserve">SOURCE:  Adopted at 8 Ill. Reg. 14385, effective August 1, 1984; amended at 11 Ill. Reg. 11497, effective July 1, 1987; emergency amendment at 17 Ill. Reg. 16208, effective September 17, 1993, for a maximum of 150 days; amended at 18 Ill. Reg. 2929, effective February 14, 1994. </w:t>
      </w:r>
    </w:p>
    <w:sectPr w:rsidR="0019019F" w:rsidSect="001901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19F"/>
    <w:rsid w:val="0019019F"/>
    <w:rsid w:val="004D78D7"/>
    <w:rsid w:val="0059651D"/>
    <w:rsid w:val="005C3366"/>
    <w:rsid w:val="00986B01"/>
    <w:rsid w:val="00A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General Assembly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