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1C" w:rsidRDefault="00574D1C" w:rsidP="00574D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D1C" w:rsidRDefault="00574D1C" w:rsidP="00574D1C">
      <w:pPr>
        <w:widowControl w:val="0"/>
        <w:autoSpaceDE w:val="0"/>
        <w:autoSpaceDN w:val="0"/>
        <w:adjustRightInd w:val="0"/>
      </w:pPr>
      <w:r>
        <w:t xml:space="preserve">SOURCE:  Emergency rules adopted at 9 Ill. Reg. 17875, effective October 30, 1985, for a maximum of 150 days; adopted at 10 Ill. Reg. 6833, effective April 7, 1986; recodified at 11 Ill. Reg. 2737; amended at 11 Ill. Reg. 16096, effective September 29, 1987; emergency amendments at 12 Ill. Reg. 15207, effective September 8, 1988 for a maximum of 150 days; amended at 13 Ill. Reg. 1758, effective January 27, 1989; amended at 18 Ill. Reg. 16564, effective October 27, 1994. </w:t>
      </w:r>
      <w:r>
        <w:tab/>
      </w:r>
    </w:p>
    <w:sectPr w:rsidR="00574D1C" w:rsidSect="00574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D1C"/>
    <w:rsid w:val="001D4457"/>
    <w:rsid w:val="002152E8"/>
    <w:rsid w:val="00574D1C"/>
    <w:rsid w:val="005C3366"/>
    <w:rsid w:val="006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