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A3" w:rsidRDefault="00AD71A3" w:rsidP="00AD71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1A3" w:rsidRDefault="00AD71A3" w:rsidP="00AD71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600.60  Allowable Leverage</w:t>
      </w:r>
      <w:r>
        <w:t xml:space="preserve"> </w:t>
      </w:r>
    </w:p>
    <w:p w:rsidR="00AD71A3" w:rsidRDefault="00AD71A3" w:rsidP="00AD71A3">
      <w:pPr>
        <w:widowControl w:val="0"/>
        <w:autoSpaceDE w:val="0"/>
        <w:autoSpaceDN w:val="0"/>
        <w:adjustRightInd w:val="0"/>
      </w:pPr>
    </w:p>
    <w:p w:rsidR="00AD71A3" w:rsidRDefault="00AD71A3" w:rsidP="00AD71A3">
      <w:pPr>
        <w:widowControl w:val="0"/>
        <w:autoSpaceDE w:val="0"/>
        <w:autoSpaceDN w:val="0"/>
        <w:adjustRightInd w:val="0"/>
      </w:pPr>
      <w:r>
        <w:t xml:space="preserve">In addition to the forms of leverage defined in Section 9-5(a) of the Act, allowable leverage will include: </w:t>
      </w:r>
    </w:p>
    <w:p w:rsidR="006E120A" w:rsidRDefault="006E120A" w:rsidP="00AD71A3">
      <w:pPr>
        <w:widowControl w:val="0"/>
        <w:autoSpaceDE w:val="0"/>
        <w:autoSpaceDN w:val="0"/>
        <w:adjustRightInd w:val="0"/>
      </w:pPr>
    </w:p>
    <w:p w:rsidR="00AD71A3" w:rsidRDefault="00AD71A3" w:rsidP="00AD71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Under-utilized land and/or buildings which are a part of the project when the appraised value qualifies them as under-utilized. </w:t>
      </w:r>
    </w:p>
    <w:p w:rsidR="006E120A" w:rsidRDefault="006E120A" w:rsidP="00AD71A3">
      <w:pPr>
        <w:widowControl w:val="0"/>
        <w:autoSpaceDE w:val="0"/>
        <w:autoSpaceDN w:val="0"/>
        <w:adjustRightInd w:val="0"/>
        <w:ind w:left="1440" w:hanging="720"/>
      </w:pPr>
    </w:p>
    <w:p w:rsidR="00AD71A3" w:rsidRDefault="00AD71A3" w:rsidP="00AD71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cash outlay by the principals resulting in them becoming stockholders. </w:t>
      </w:r>
    </w:p>
    <w:p w:rsidR="006E120A" w:rsidRDefault="006E120A" w:rsidP="00AD71A3">
      <w:pPr>
        <w:widowControl w:val="0"/>
        <w:autoSpaceDE w:val="0"/>
        <w:autoSpaceDN w:val="0"/>
        <w:adjustRightInd w:val="0"/>
        <w:ind w:left="1440" w:hanging="720"/>
      </w:pPr>
    </w:p>
    <w:p w:rsidR="00AD71A3" w:rsidRDefault="00AD71A3" w:rsidP="00AD71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Funds expended by the business prior to the date of a loan or grant award; existing in-state equipment, land, buildings, furnishings, inventory (already owned and being utilized); lines of credit; post-project costs (such as operational expenses); and debt refinancing will not be considered as leverage. </w:t>
      </w:r>
    </w:p>
    <w:sectPr w:rsidR="00AD71A3" w:rsidSect="00AD7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1A3"/>
    <w:rsid w:val="005C3366"/>
    <w:rsid w:val="006E120A"/>
    <w:rsid w:val="00701A97"/>
    <w:rsid w:val="00742F09"/>
    <w:rsid w:val="0091421C"/>
    <w:rsid w:val="00AD71A3"/>
    <w:rsid w:val="00F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