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1C" w:rsidRDefault="003B541C" w:rsidP="003B54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541C" w:rsidRDefault="003B541C" w:rsidP="003B541C">
      <w:pPr>
        <w:widowControl w:val="0"/>
        <w:autoSpaceDE w:val="0"/>
        <w:autoSpaceDN w:val="0"/>
        <w:adjustRightInd w:val="0"/>
      </w:pPr>
      <w:r>
        <w:t xml:space="preserve">SOURCE:  Adopted by emergency rulemaking at 24 Ill. Reg. 17361, effective November 6, 2000, for a maximum of 150 days; adopted at 25 Ill. Reg. 3646, effective February 26, 2001; amended at 26 Ill. Reg. 3026, effective February 15, 2002. </w:t>
      </w:r>
      <w:r>
        <w:tab/>
      </w:r>
    </w:p>
    <w:sectPr w:rsidR="003B541C" w:rsidSect="003B54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541C"/>
    <w:rsid w:val="003B541C"/>
    <w:rsid w:val="00494D1B"/>
    <w:rsid w:val="005C3366"/>
    <w:rsid w:val="00AF617B"/>
    <w:rsid w:val="00D4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rulemaking at 24 Ill</vt:lpstr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rulemaking at 24 Ill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