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527" w:rsidRDefault="00FD0527" w:rsidP="00F560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0527" w:rsidRDefault="00FD0527" w:rsidP="00F560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400.10  General</w:t>
      </w:r>
      <w:r>
        <w:t xml:space="preserve"> </w:t>
      </w:r>
    </w:p>
    <w:p w:rsidR="00FD0527" w:rsidRDefault="00FD0527" w:rsidP="00F56011">
      <w:pPr>
        <w:widowControl w:val="0"/>
        <w:autoSpaceDE w:val="0"/>
        <w:autoSpaceDN w:val="0"/>
        <w:adjustRightInd w:val="0"/>
      </w:pPr>
    </w:p>
    <w:p w:rsidR="00FD0527" w:rsidRDefault="00FD0527" w:rsidP="00F56011">
      <w:pPr>
        <w:widowControl w:val="0"/>
        <w:autoSpaceDE w:val="0"/>
        <w:autoSpaceDN w:val="0"/>
        <w:adjustRightInd w:val="0"/>
      </w:pPr>
      <w:r>
        <w:t xml:space="preserve">The Charitable Trusts Bureau of the Attorney General's Office (hereafter Bureau) will maintain a file of all charitable organizations, professional fund raisers, professional fundraising consultants and professional solicitors registered under the Illinois Solicitation for Charity Act at its Chicago office. </w:t>
      </w:r>
    </w:p>
    <w:p w:rsidR="00FD0527" w:rsidRDefault="00FD0527" w:rsidP="00F56011">
      <w:pPr>
        <w:widowControl w:val="0"/>
        <w:autoSpaceDE w:val="0"/>
        <w:autoSpaceDN w:val="0"/>
        <w:adjustRightInd w:val="0"/>
      </w:pPr>
    </w:p>
    <w:p w:rsidR="00FD0527" w:rsidRDefault="00FD0527" w:rsidP="00F5601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14684, effective September 21, 2000) </w:t>
      </w:r>
    </w:p>
    <w:sectPr w:rsidR="00FD0527" w:rsidSect="00F560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0527"/>
    <w:rsid w:val="00136996"/>
    <w:rsid w:val="001678D1"/>
    <w:rsid w:val="004B2186"/>
    <w:rsid w:val="0090505F"/>
    <w:rsid w:val="00BC1DBF"/>
    <w:rsid w:val="00D37651"/>
    <w:rsid w:val="00F56011"/>
    <w:rsid w:val="00FD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</vt:lpstr>
    </vt:vector>
  </TitlesOfParts>
  <Company>State of Illinois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