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C537C" w:rsidRDefault="000174EB" w:rsidP="004C537C"/>
    <w:p w:rsidR="004C537C" w:rsidRPr="004C537C" w:rsidRDefault="004C537C" w:rsidP="004C537C">
      <w:pPr>
        <w:rPr>
          <w:b/>
        </w:rPr>
      </w:pPr>
      <w:r w:rsidRPr="004C537C">
        <w:rPr>
          <w:b/>
        </w:rPr>
        <w:t>Section 1900.530  Identification and Requirements of Key Persons</w:t>
      </w:r>
    </w:p>
    <w:p w:rsidR="004C537C" w:rsidRPr="004C537C" w:rsidRDefault="004C537C" w:rsidP="004C537C"/>
    <w:p w:rsidR="004C537C" w:rsidRPr="004C537C" w:rsidRDefault="004C537C" w:rsidP="004C537C">
      <w:pPr>
        <w:ind w:left="1440" w:hanging="720"/>
      </w:pPr>
      <w:r>
        <w:t>a)</w:t>
      </w:r>
      <w:r>
        <w:tab/>
      </w:r>
      <w:r w:rsidRPr="004C537C">
        <w:t>Applicants and licensees shall disclose the identity of key persons.  Key persons must be approved by the Board and maintain suitability as a key person of the licensee.</w:t>
      </w:r>
    </w:p>
    <w:p w:rsidR="004C537C" w:rsidRPr="004C537C" w:rsidRDefault="004C537C" w:rsidP="002900FD"/>
    <w:p w:rsidR="004C537C" w:rsidRPr="004C537C" w:rsidRDefault="004C537C" w:rsidP="004C537C">
      <w:pPr>
        <w:ind w:left="1440" w:hanging="720"/>
      </w:pPr>
      <w:r>
        <w:t>b)</w:t>
      </w:r>
      <w:r>
        <w:tab/>
      </w:r>
      <w:r w:rsidRPr="004C537C">
        <w:t>With respect to an applicant for</w:t>
      </w:r>
      <w:r w:rsidR="000E7D40">
        <w:t>,</w:t>
      </w:r>
      <w:r w:rsidRPr="004C537C">
        <w:t xml:space="preserve"> or the holder of</w:t>
      </w:r>
      <w:r w:rsidR="000E7D40">
        <w:t>,</w:t>
      </w:r>
      <w:r w:rsidRPr="004C537C">
        <w:t xml:space="preserve"> a master sports wagering license or management service provider license, key person shall include: 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>
        <w:t>1)</w:t>
      </w:r>
      <w:r>
        <w:tab/>
      </w:r>
      <w:r w:rsidR="000E7D40">
        <w:t xml:space="preserve">Any </w:t>
      </w:r>
      <w:r w:rsidRPr="004C537C">
        <w:t>person with an ownership interest or voting rights of 5</w:t>
      </w:r>
      <w:r w:rsidR="000E7D40">
        <w:t>%</w:t>
      </w:r>
      <w:r w:rsidRPr="004C537C">
        <w:t xml:space="preserve"> or more in the licensee or applicant, and the trustee and beneficiaries of any trust holding </w:t>
      </w:r>
      <w:r w:rsidR="000E7D40">
        <w:t xml:space="preserve">the </w:t>
      </w:r>
      <w:r w:rsidRPr="004C537C">
        <w:t>ownership interest or voting rights; and</w:t>
      </w:r>
    </w:p>
    <w:p w:rsidR="004C537C" w:rsidRPr="004C537C" w:rsidRDefault="004C537C" w:rsidP="002900FD"/>
    <w:p w:rsidR="004C537C" w:rsidRDefault="004C537C" w:rsidP="004C537C">
      <w:pPr>
        <w:ind w:left="2160" w:hanging="720"/>
      </w:pPr>
      <w:r>
        <w:t>2)</w:t>
      </w:r>
      <w:r>
        <w:tab/>
      </w:r>
      <w:r w:rsidR="000E7D40">
        <w:t xml:space="preserve">The </w:t>
      </w:r>
      <w:r w:rsidRPr="004C537C">
        <w:t>directors of the licensee or applicant and its Chief Executive Officer, Chief Operating Officer, and Chief Financial Officer</w:t>
      </w:r>
      <w:r w:rsidR="000E7D40">
        <w:t>,</w:t>
      </w:r>
      <w:r w:rsidRPr="004C537C">
        <w:t xml:space="preserve"> or their functional equivalents</w:t>
      </w:r>
      <w:r w:rsidR="000E7D40">
        <w:t>,</w:t>
      </w:r>
      <w:r w:rsidRPr="004C537C">
        <w:t xml:space="preserve"> and any managers of a limited liability company. </w:t>
      </w:r>
    </w:p>
    <w:p w:rsidR="004C537C" w:rsidRPr="004C537C" w:rsidRDefault="004C537C" w:rsidP="002900FD"/>
    <w:p w:rsidR="004C537C" w:rsidRDefault="004C537C" w:rsidP="004C537C">
      <w:pPr>
        <w:ind w:left="1440" w:hanging="720"/>
      </w:pPr>
      <w:r>
        <w:t>c)</w:t>
      </w:r>
      <w:r>
        <w:tab/>
      </w:r>
      <w:r w:rsidRPr="004C537C">
        <w:t>With respect to an applicant for</w:t>
      </w:r>
      <w:r w:rsidR="000E7D40">
        <w:t>,</w:t>
      </w:r>
      <w:r w:rsidRPr="004C537C">
        <w:t xml:space="preserve"> or holder of</w:t>
      </w:r>
      <w:r w:rsidR="000E7D40">
        <w:t>,</w:t>
      </w:r>
      <w:r w:rsidRPr="004C537C">
        <w:t xml:space="preserve"> a supplier license or a tier 2 official league data provider license, key person shall include: </w:t>
      </w:r>
    </w:p>
    <w:p w:rsidR="004C537C" w:rsidRPr="004C537C" w:rsidRDefault="004C537C" w:rsidP="002900FD"/>
    <w:p w:rsidR="004C537C" w:rsidRDefault="004C537C" w:rsidP="004C537C">
      <w:pPr>
        <w:ind w:left="2160" w:hanging="720"/>
      </w:pPr>
      <w:r>
        <w:t>1)</w:t>
      </w:r>
      <w:r>
        <w:tab/>
      </w:r>
      <w:r w:rsidR="000E7D40">
        <w:t xml:space="preserve">Any </w:t>
      </w:r>
      <w:r w:rsidRPr="004C537C">
        <w:t>person with an ownership interest or voting rights of 5</w:t>
      </w:r>
      <w:r w:rsidR="00CB022D">
        <w:t>%</w:t>
      </w:r>
      <w:r w:rsidRPr="004C537C">
        <w:t xml:space="preserve"> or more in the licensee or applicant, and the trustee and beneficiaries of any trust holding </w:t>
      </w:r>
      <w:r w:rsidR="000E7D40">
        <w:t xml:space="preserve">the </w:t>
      </w:r>
      <w:r w:rsidRPr="004C537C">
        <w:t>ownership interest</w:t>
      </w:r>
      <w:r w:rsidR="00DD6624">
        <w:t>s</w:t>
      </w:r>
      <w:r w:rsidRPr="004C537C">
        <w:t xml:space="preserve"> or voting rights; and  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 w:rsidRPr="004C537C">
        <w:t>2)</w:t>
      </w:r>
      <w:r w:rsidRPr="004C537C">
        <w:tab/>
      </w:r>
      <w:r w:rsidR="000E7D40">
        <w:t xml:space="preserve">The </w:t>
      </w:r>
      <w:r w:rsidRPr="004C537C">
        <w:t>Chief Executive Officer, Chief Operating Officer and Chief Financial Officer or their functional equivalents.</w:t>
      </w:r>
    </w:p>
    <w:p w:rsidR="004C537C" w:rsidRPr="004C537C" w:rsidRDefault="004C537C" w:rsidP="002900FD"/>
    <w:p w:rsidR="004C537C" w:rsidRPr="004C537C" w:rsidRDefault="004C537C" w:rsidP="004C537C">
      <w:pPr>
        <w:ind w:left="1440" w:hanging="720"/>
      </w:pPr>
      <w:r w:rsidRPr="004C537C">
        <w:t>d)</w:t>
      </w:r>
      <w:r w:rsidRPr="004C537C">
        <w:tab/>
        <w:t>In addition to the persons named in subsections (b) and (c), the key persons include all other persons that the Board determines hold a position or a level of ownership, control or influence that is material to the regulatory concerns and obligations of the Board for the specified licensee or applicant.</w:t>
      </w:r>
    </w:p>
    <w:p w:rsidR="004C537C" w:rsidRPr="004C537C" w:rsidRDefault="004C537C" w:rsidP="002900FD"/>
    <w:p w:rsidR="004C537C" w:rsidRPr="004C537C" w:rsidRDefault="004C537C" w:rsidP="004C537C">
      <w:pPr>
        <w:ind w:left="1440" w:hanging="720"/>
      </w:pPr>
      <w:r>
        <w:t>e)</w:t>
      </w:r>
      <w:r>
        <w:tab/>
      </w:r>
      <w:r w:rsidRPr="004C537C">
        <w:t xml:space="preserve">Individuals required to hold a level 1 occupational license, pursuant to Section 1900.150(b), may also be certified by the Board as key persons.  For </w:t>
      </w:r>
      <w:r w:rsidR="000E7D40">
        <w:t xml:space="preserve">these </w:t>
      </w:r>
      <w:r w:rsidRPr="004C537C">
        <w:t xml:space="preserve">individuals, the disclosure and approval requirements and the standards for compliance with this Part shall be those related to key persons. 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>
        <w:t>1)</w:t>
      </w:r>
      <w:r>
        <w:tab/>
      </w:r>
      <w:r w:rsidRPr="004C537C">
        <w:t>An individual denied an occupational license or whose license is revoked by a final determination of the Board is unsuitable to be, and shall not be allowed to function as</w:t>
      </w:r>
      <w:r w:rsidR="000E7D40">
        <w:t>,</w:t>
      </w:r>
      <w:r w:rsidRPr="004C537C">
        <w:t xml:space="preserve"> a key person of any applicant or licensee.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 w:rsidRPr="004C537C">
        <w:t>2)</w:t>
      </w:r>
      <w:r w:rsidRPr="004C537C">
        <w:tab/>
        <w:t xml:space="preserve">An individual who, by voluntary action, relinquishes status as a level 1 occupational licensee and remains or becomes a key person shall be required to comply with all requirements imposed by the Board and this Part upon key persons. </w:t>
      </w:r>
    </w:p>
    <w:p w:rsidR="004C537C" w:rsidRPr="004C537C" w:rsidRDefault="004C537C" w:rsidP="002900FD"/>
    <w:p w:rsidR="004C537C" w:rsidRPr="004C537C" w:rsidRDefault="004C537C" w:rsidP="004C537C">
      <w:pPr>
        <w:ind w:left="1440" w:hanging="720"/>
      </w:pPr>
      <w:r w:rsidRPr="004C537C">
        <w:t>f)</w:t>
      </w:r>
      <w:r w:rsidRPr="004C537C">
        <w:tab/>
        <w:t xml:space="preserve">Each person designated as a key person shall: 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>
        <w:t>1)</w:t>
      </w:r>
      <w:r>
        <w:tab/>
      </w:r>
      <w:r w:rsidR="000E7D40">
        <w:t xml:space="preserve">File </w:t>
      </w:r>
      <w:r w:rsidRPr="004C537C">
        <w:t>an individual personal disclosure form or business entity disclosure form;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>
        <w:t>2)</w:t>
      </w:r>
      <w:r>
        <w:tab/>
      </w:r>
      <w:r w:rsidR="000E7D40">
        <w:t>File</w:t>
      </w:r>
      <w:r w:rsidRPr="004C537C">
        <w:t xml:space="preserve">, on an annual basis, a disclosure affidavit, updated personal and background information, and updated tax and financial documents and information; 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>
        <w:t>3)</w:t>
      </w:r>
      <w:r>
        <w:tab/>
      </w:r>
      <w:r w:rsidR="000E7D40">
        <w:t xml:space="preserve">Comply </w:t>
      </w:r>
      <w:r w:rsidRPr="004C537C">
        <w:t xml:space="preserve">with the applicable provisions of this Part and </w:t>
      </w:r>
      <w:r w:rsidR="000E7D40">
        <w:t xml:space="preserve">shall </w:t>
      </w:r>
      <w:r w:rsidRPr="004C537C">
        <w:t xml:space="preserve">disclose promptly to the Board </w:t>
      </w:r>
      <w:r w:rsidR="000E7D40">
        <w:t>(</w:t>
      </w:r>
      <w:r w:rsidRPr="004C537C">
        <w:t>within 30 days</w:t>
      </w:r>
      <w:r w:rsidR="000E7D40">
        <w:t>)</w:t>
      </w:r>
      <w:r w:rsidRPr="004C537C">
        <w:t xml:space="preserve"> any material changes in status or information previously provided to the Board; 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>
        <w:t>4)</w:t>
      </w:r>
      <w:r>
        <w:tab/>
      </w:r>
      <w:r w:rsidR="000E7D40">
        <w:t xml:space="preserve">As </w:t>
      </w:r>
      <w:r w:rsidRPr="004C537C">
        <w:t xml:space="preserve">required, cooperate fully with Board agents </w:t>
      </w:r>
      <w:r w:rsidR="000E7D40">
        <w:t xml:space="preserve">in </w:t>
      </w:r>
      <w:r w:rsidRPr="004C537C">
        <w:t xml:space="preserve">any investigation conducted by the Board; 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>
        <w:t>5)</w:t>
      </w:r>
      <w:r>
        <w:tab/>
      </w:r>
      <w:r w:rsidR="000E7D40">
        <w:t xml:space="preserve">Maintain </w:t>
      </w:r>
      <w:r w:rsidRPr="004C537C">
        <w:t xml:space="preserve">suitability as a key person; and </w:t>
      </w:r>
    </w:p>
    <w:p w:rsidR="004C537C" w:rsidRPr="004C537C" w:rsidRDefault="004C537C" w:rsidP="002900FD"/>
    <w:p w:rsidR="004C537C" w:rsidRPr="004C537C" w:rsidRDefault="004C537C" w:rsidP="004C537C">
      <w:pPr>
        <w:ind w:left="2160" w:hanging="720"/>
      </w:pPr>
      <w:r>
        <w:t>6)</w:t>
      </w:r>
      <w:r>
        <w:tab/>
      </w:r>
      <w:r w:rsidR="000E7D40">
        <w:t xml:space="preserve">Be </w:t>
      </w:r>
      <w:r w:rsidRPr="004C537C">
        <w:t>subject to a fine or other appropriate discipline for each act or omission that is grounds for discipline of a licensee under Section 1900.310.</w:t>
      </w:r>
    </w:p>
    <w:p w:rsidR="004C537C" w:rsidRPr="004C537C" w:rsidRDefault="004C537C" w:rsidP="002900FD">
      <w:bookmarkStart w:id="0" w:name="_GoBack"/>
      <w:bookmarkEnd w:id="0"/>
    </w:p>
    <w:p w:rsidR="004C537C" w:rsidRDefault="004C537C" w:rsidP="004C537C">
      <w:pPr>
        <w:ind w:left="1440" w:hanging="720"/>
      </w:pPr>
      <w:r w:rsidRPr="004C537C">
        <w:t>g)</w:t>
      </w:r>
      <w:r w:rsidRPr="004C537C">
        <w:tab/>
        <w:t>An individual identified as a key person of a master sports wagering licensee or management services provider licensee shall not act in that role until after submission of</w:t>
      </w:r>
      <w:r w:rsidR="000E7D40">
        <w:t xml:space="preserve"> an</w:t>
      </w:r>
      <w:r w:rsidRPr="004C537C">
        <w:t xml:space="preserve"> individual key person personal disclosure form.</w:t>
      </w:r>
    </w:p>
    <w:sectPr w:rsidR="004C53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25D" w:rsidRDefault="0014425D">
      <w:r>
        <w:separator/>
      </w:r>
    </w:p>
  </w:endnote>
  <w:endnote w:type="continuationSeparator" w:id="0">
    <w:p w:rsidR="0014425D" w:rsidRDefault="0014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25D" w:rsidRDefault="0014425D">
      <w:r>
        <w:separator/>
      </w:r>
    </w:p>
  </w:footnote>
  <w:footnote w:type="continuationSeparator" w:id="0">
    <w:p w:rsidR="0014425D" w:rsidRDefault="0014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80E25"/>
    <w:multiLevelType w:val="hybridMultilevel"/>
    <w:tmpl w:val="771A927C"/>
    <w:lvl w:ilvl="0" w:tplc="198C4EA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93E05"/>
    <w:multiLevelType w:val="hybridMultilevel"/>
    <w:tmpl w:val="917CE990"/>
    <w:lvl w:ilvl="0" w:tplc="6F5EF5F6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A46F7"/>
    <w:multiLevelType w:val="hybridMultilevel"/>
    <w:tmpl w:val="2926EE5E"/>
    <w:lvl w:ilvl="0" w:tplc="DD4C33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1C2171"/>
    <w:multiLevelType w:val="hybridMultilevel"/>
    <w:tmpl w:val="0C7E89D4"/>
    <w:lvl w:ilvl="0" w:tplc="265AB1FA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4823DD"/>
    <w:multiLevelType w:val="hybridMultilevel"/>
    <w:tmpl w:val="0E5C53E6"/>
    <w:lvl w:ilvl="0" w:tplc="5F64EC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CD3A9D"/>
    <w:multiLevelType w:val="hybridMultilevel"/>
    <w:tmpl w:val="D91213BA"/>
    <w:lvl w:ilvl="0" w:tplc="480A2E48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D40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25D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0FD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97A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37C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74F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22D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62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6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11371-1065-4491-97B8-EFABD130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3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5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2019-12-20T17:57:00Z</dcterms:created>
  <dcterms:modified xsi:type="dcterms:W3CDTF">2020-06-17T15:49:00Z</dcterms:modified>
</cp:coreProperties>
</file>