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535D3D" w:rsidRDefault="000174EB" w:rsidP="00535D3D">
      <w:bookmarkStart w:id="0" w:name="_GoBack"/>
      <w:bookmarkEnd w:id="0"/>
    </w:p>
    <w:p w:rsidR="00535D3D" w:rsidRPr="00535D3D" w:rsidRDefault="00535D3D" w:rsidP="00535D3D">
      <w:pPr>
        <w:rPr>
          <w:b/>
        </w:rPr>
      </w:pPr>
      <w:r w:rsidRPr="00535D3D">
        <w:rPr>
          <w:b/>
        </w:rPr>
        <w:t>Section 1900.500  Coverage of Subpart</w:t>
      </w:r>
    </w:p>
    <w:p w:rsidR="00535D3D" w:rsidRPr="00535D3D" w:rsidRDefault="00535D3D" w:rsidP="00535D3D"/>
    <w:p w:rsidR="00535D3D" w:rsidRDefault="000A6203" w:rsidP="00535D3D">
      <w:r>
        <w:t xml:space="preserve">This </w:t>
      </w:r>
      <w:r w:rsidR="00535D3D" w:rsidRPr="00535D3D">
        <w:t>Subpart shall govern qualifications for all types of licenses issued by the Board pursuant to the Act.</w:t>
      </w:r>
    </w:p>
    <w:sectPr w:rsidR="00535D3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5F3" w:rsidRDefault="001365F3">
      <w:r>
        <w:separator/>
      </w:r>
    </w:p>
  </w:endnote>
  <w:endnote w:type="continuationSeparator" w:id="0">
    <w:p w:rsidR="001365F3" w:rsidRDefault="0013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5F3" w:rsidRDefault="001365F3">
      <w:r>
        <w:separator/>
      </w:r>
    </w:p>
  </w:footnote>
  <w:footnote w:type="continuationSeparator" w:id="0">
    <w:p w:rsidR="001365F3" w:rsidRDefault="00136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F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6203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5F3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D3D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68F7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0B2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FA721-3AA8-4ED5-8023-EC3B4BDB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D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125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5</cp:revision>
  <dcterms:created xsi:type="dcterms:W3CDTF">2019-12-20T17:57:00Z</dcterms:created>
  <dcterms:modified xsi:type="dcterms:W3CDTF">2020-05-01T16:58:00Z</dcterms:modified>
</cp:coreProperties>
</file>