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213701" w:rsidRPr="00093935" w:rsidRDefault="00213701" w:rsidP="00213701">
      <w:pPr>
        <w:jc w:val="center"/>
      </w:pPr>
      <w:r>
        <w:t>SUBPART U:  UNDERAGE GAMBLING COMPLIANCE</w:t>
      </w:r>
    </w:p>
    <w:sectPr w:rsidR="0021370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D1C" w:rsidRDefault="00932D1C">
      <w:r>
        <w:separator/>
      </w:r>
    </w:p>
  </w:endnote>
  <w:endnote w:type="continuationSeparator" w:id="0">
    <w:p w:rsidR="00932D1C" w:rsidRDefault="0093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D1C" w:rsidRDefault="00932D1C">
      <w:r>
        <w:separator/>
      </w:r>
    </w:p>
  </w:footnote>
  <w:footnote w:type="continuationSeparator" w:id="0">
    <w:p w:rsidR="00932D1C" w:rsidRDefault="0093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70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89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D1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A8BFA-FF8D-425C-9CAA-BD2B3B10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2020-06-26T13:15:00Z</dcterms:created>
  <dcterms:modified xsi:type="dcterms:W3CDTF">2020-06-26T13:15:00Z</dcterms:modified>
</cp:coreProperties>
</file>