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A7" w:rsidRDefault="005630A7" w:rsidP="005630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30A7" w:rsidRDefault="005630A7" w:rsidP="005630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1320.20  Assault and/or Battery</w:t>
      </w:r>
      <w:r>
        <w:t xml:space="preserve"> </w:t>
      </w:r>
    </w:p>
    <w:p w:rsidR="005630A7" w:rsidRDefault="005630A7" w:rsidP="005630A7">
      <w:pPr>
        <w:widowControl w:val="0"/>
        <w:autoSpaceDE w:val="0"/>
        <w:autoSpaceDN w:val="0"/>
        <w:adjustRightInd w:val="0"/>
      </w:pPr>
    </w:p>
    <w:p w:rsidR="005630A7" w:rsidRDefault="005630A7" w:rsidP="005630A7">
      <w:pPr>
        <w:widowControl w:val="0"/>
        <w:autoSpaceDE w:val="0"/>
        <w:autoSpaceDN w:val="0"/>
        <w:adjustRightInd w:val="0"/>
      </w:pPr>
      <w:r>
        <w:t xml:space="preserve">No licensee on organization grounds shall commit an assault or battery. </w:t>
      </w:r>
    </w:p>
    <w:p w:rsidR="005630A7" w:rsidRDefault="005630A7" w:rsidP="005630A7">
      <w:pPr>
        <w:widowControl w:val="0"/>
        <w:autoSpaceDE w:val="0"/>
        <w:autoSpaceDN w:val="0"/>
        <w:adjustRightInd w:val="0"/>
      </w:pPr>
    </w:p>
    <w:p w:rsidR="005630A7" w:rsidRDefault="005630A7" w:rsidP="005630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17751, effective November 28, 1994) </w:t>
      </w:r>
    </w:p>
    <w:sectPr w:rsidR="005630A7" w:rsidSect="005630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0A7"/>
    <w:rsid w:val="001678D1"/>
    <w:rsid w:val="0029038F"/>
    <w:rsid w:val="005630A7"/>
    <w:rsid w:val="00687D92"/>
    <w:rsid w:val="00F7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