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CC8" w:rsidRDefault="00AB3CC8" w:rsidP="00AB3CC8">
      <w:pPr>
        <w:widowControl w:val="0"/>
        <w:autoSpaceDE w:val="0"/>
        <w:autoSpaceDN w:val="0"/>
        <w:adjustRightInd w:val="0"/>
      </w:pPr>
      <w:bookmarkStart w:id="0" w:name="_GoBack"/>
      <w:bookmarkEnd w:id="0"/>
    </w:p>
    <w:p w:rsidR="00AB3CC8" w:rsidRDefault="00AB3CC8" w:rsidP="00AB3CC8">
      <w:pPr>
        <w:widowControl w:val="0"/>
        <w:autoSpaceDE w:val="0"/>
        <w:autoSpaceDN w:val="0"/>
        <w:adjustRightInd w:val="0"/>
      </w:pPr>
      <w:r>
        <w:rPr>
          <w:b/>
          <w:bCs/>
        </w:rPr>
        <w:t>Section 433.15  Purpose</w:t>
      </w:r>
      <w:r>
        <w:t xml:space="preserve"> </w:t>
      </w:r>
    </w:p>
    <w:p w:rsidR="00AB3CC8" w:rsidRDefault="00AB3CC8" w:rsidP="00AB3CC8">
      <w:pPr>
        <w:widowControl w:val="0"/>
        <w:autoSpaceDE w:val="0"/>
        <w:autoSpaceDN w:val="0"/>
        <w:adjustRightInd w:val="0"/>
      </w:pPr>
    </w:p>
    <w:p w:rsidR="00AB3CC8" w:rsidRDefault="00AB3CC8" w:rsidP="00AB3CC8">
      <w:pPr>
        <w:widowControl w:val="0"/>
        <w:autoSpaceDE w:val="0"/>
        <w:autoSpaceDN w:val="0"/>
        <w:adjustRightInd w:val="0"/>
      </w:pPr>
      <w:r>
        <w:t xml:space="preserve">The Part is designed to permit the Board to perform its statutory duty to supervise the pari-mutuel wagering system, to collect the taxes prescribed in the Act and to protect the wagering public.  To this end, this Part establishes clear lines of responsibility between the organization licensee's pari-mutuel department and the totalizator system licensee and its employees, as well as detailing the duties and responsibilities of the Pari-Mutuel Audit Unit.  This Part also requires security and backup procedures. </w:t>
      </w:r>
    </w:p>
    <w:sectPr w:rsidR="00AB3CC8" w:rsidSect="00AB3C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3CC8"/>
    <w:rsid w:val="001678D1"/>
    <w:rsid w:val="001A42FE"/>
    <w:rsid w:val="00701D1A"/>
    <w:rsid w:val="009E0733"/>
    <w:rsid w:val="00AB3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433</vt:lpstr>
    </vt:vector>
  </TitlesOfParts>
  <Company>State of Illinois</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433</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