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EB" w:rsidRDefault="00AF0DEB" w:rsidP="00AF0D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DEB" w:rsidRDefault="00AF0DEB" w:rsidP="00AF0DEB">
      <w:pPr>
        <w:widowControl w:val="0"/>
        <w:autoSpaceDE w:val="0"/>
        <w:autoSpaceDN w:val="0"/>
        <w:adjustRightInd w:val="0"/>
      </w:pPr>
      <w:r>
        <w:t xml:space="preserve">SOURCE:  Sanitation Rules, (formerly Harness Rule 28 and thoroughbred rules 500-507) passed September 13, 1974, filed September 19, 1974; codified at 5 Ill. Reg. 10914. </w:t>
      </w:r>
      <w:r>
        <w:tab/>
      </w:r>
    </w:p>
    <w:sectPr w:rsidR="00AF0DEB" w:rsidSect="00AF0D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DEB"/>
    <w:rsid w:val="001678D1"/>
    <w:rsid w:val="003216BD"/>
    <w:rsid w:val="00430377"/>
    <w:rsid w:val="00AF0DEB"/>
    <w:rsid w:val="00C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Sanitation Rules, (formerly Harness Rule 28 and thoroughbred rules 500-507) passed September 13, 1974, filed Septembe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Sanitation Rules, (formerly Harness Rule 28 and thoroughbred rules 500-507) passed September 13, 1974, filed Septembe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