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0CB" w:rsidRDefault="003300CB" w:rsidP="003300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00CB" w:rsidRDefault="003300CB" w:rsidP="003300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204.30  Purse Distribution</w:t>
      </w:r>
      <w:r>
        <w:t xml:space="preserve"> </w:t>
      </w:r>
    </w:p>
    <w:p w:rsidR="003300CB" w:rsidRDefault="003300CB" w:rsidP="003300CB">
      <w:pPr>
        <w:widowControl w:val="0"/>
        <w:autoSpaceDE w:val="0"/>
        <w:autoSpaceDN w:val="0"/>
        <w:adjustRightInd w:val="0"/>
      </w:pPr>
    </w:p>
    <w:p w:rsidR="003300CB" w:rsidRDefault="003300CB" w:rsidP="003300CB">
      <w:pPr>
        <w:widowControl w:val="0"/>
        <w:autoSpaceDE w:val="0"/>
        <w:autoSpaceDN w:val="0"/>
        <w:adjustRightInd w:val="0"/>
      </w:pPr>
      <w:r>
        <w:t xml:space="preserve">Upon receipt of a request for hearing that may affect the distribution of a purse in a race, the Board shall serve notice of the hearing upon each of the owners of all other horses involved in the race as identified in the official program. </w:t>
      </w:r>
    </w:p>
    <w:p w:rsidR="003300CB" w:rsidRDefault="003300CB" w:rsidP="003300CB">
      <w:pPr>
        <w:widowControl w:val="0"/>
        <w:autoSpaceDE w:val="0"/>
        <w:autoSpaceDN w:val="0"/>
        <w:adjustRightInd w:val="0"/>
      </w:pPr>
    </w:p>
    <w:p w:rsidR="003300CB" w:rsidRDefault="003300CB" w:rsidP="003300C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7419, effective April 29, 1994) </w:t>
      </w:r>
    </w:p>
    <w:sectPr w:rsidR="003300CB" w:rsidSect="003300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00CB"/>
    <w:rsid w:val="001678D1"/>
    <w:rsid w:val="003300CB"/>
    <w:rsid w:val="00441180"/>
    <w:rsid w:val="00BD4F41"/>
    <w:rsid w:val="00E1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204</vt:lpstr>
    </vt:vector>
  </TitlesOfParts>
  <Company>State of Illinois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204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