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CC7" w:rsidRPr="00D85243" w:rsidRDefault="004F7CC7" w:rsidP="00851E3D">
      <w:pPr>
        <w:widowControl w:val="0"/>
        <w:autoSpaceDE w:val="0"/>
        <w:autoSpaceDN w:val="0"/>
        <w:adjustRightInd w:val="0"/>
      </w:pPr>
    </w:p>
    <w:p w:rsidR="004F7CC7" w:rsidRPr="00D85243" w:rsidRDefault="004F7CC7" w:rsidP="00851E3D">
      <w:pPr>
        <w:widowControl w:val="0"/>
        <w:autoSpaceDE w:val="0"/>
        <w:autoSpaceDN w:val="0"/>
        <w:adjustRightInd w:val="0"/>
      </w:pPr>
      <w:r w:rsidRPr="00D85243">
        <w:rPr>
          <w:b/>
          <w:bCs/>
        </w:rPr>
        <w:t>Section 100.250  Transfer of Alcohol</w:t>
      </w:r>
      <w:r w:rsidRPr="00D85243">
        <w:t xml:space="preserve"> </w:t>
      </w:r>
    </w:p>
    <w:p w:rsidR="004F7CC7" w:rsidRPr="00D85243" w:rsidRDefault="004F7CC7" w:rsidP="00851E3D">
      <w:pPr>
        <w:widowControl w:val="0"/>
        <w:autoSpaceDE w:val="0"/>
        <w:autoSpaceDN w:val="0"/>
        <w:adjustRightInd w:val="0"/>
      </w:pPr>
    </w:p>
    <w:p w:rsidR="00945A94" w:rsidRDefault="008C25E7" w:rsidP="008C25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F7CC7" w:rsidRPr="00D85243">
        <w:t>The holder of a retail license</w:t>
      </w:r>
      <w:r w:rsidR="002316D9">
        <w:t xml:space="preserve"> is </w:t>
      </w:r>
      <w:r w:rsidR="00636091">
        <w:t xml:space="preserve">prohibited from selling, giving, or transferring alcoholic products subject to the jurisdiction of the Act to another retail license holder unless permitted by the Act, </w:t>
      </w:r>
      <w:r w:rsidR="002316D9">
        <w:t>this Part</w:t>
      </w:r>
      <w:r w:rsidR="00945A94">
        <w:t>, or an express authorization by the Commission</w:t>
      </w:r>
      <w:r w:rsidR="002316D9" w:rsidRPr="00D85243">
        <w:t>.</w:t>
      </w:r>
    </w:p>
    <w:p w:rsidR="00945A94" w:rsidRDefault="00945A94" w:rsidP="00E15247">
      <w:pPr>
        <w:widowControl w:val="0"/>
        <w:autoSpaceDE w:val="0"/>
        <w:autoSpaceDN w:val="0"/>
        <w:adjustRightInd w:val="0"/>
      </w:pPr>
    </w:p>
    <w:p w:rsidR="00945A94" w:rsidRPr="005554CD" w:rsidRDefault="00945A94" w:rsidP="008C25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5554CD">
        <w:t xml:space="preserve">The holder of a retail license is prohibited from purchasing, receiving, or accepting alcoholic products subject to the jurisdiction of the Act from another retail license holder unless permitted by the Act, </w:t>
      </w:r>
      <w:r w:rsidR="002316D9" w:rsidRPr="005554CD">
        <w:t>this Part</w:t>
      </w:r>
      <w:r w:rsidRPr="005554CD">
        <w:t>, or an express authorization by the Commission.</w:t>
      </w:r>
    </w:p>
    <w:p w:rsidR="00945A94" w:rsidRPr="005554CD" w:rsidRDefault="00945A94" w:rsidP="00E15247">
      <w:pPr>
        <w:widowControl w:val="0"/>
        <w:autoSpaceDE w:val="0"/>
        <w:autoSpaceDN w:val="0"/>
        <w:adjustRightInd w:val="0"/>
      </w:pPr>
    </w:p>
    <w:p w:rsidR="00A81F83" w:rsidRDefault="00945A94" w:rsidP="002316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6360A4" w:rsidRPr="00D85243">
        <w:t xml:space="preserve">Unless otherwise permitted </w:t>
      </w:r>
      <w:r w:rsidR="004A1C14">
        <w:t xml:space="preserve">by </w:t>
      </w:r>
      <w:r w:rsidR="00D70BDF">
        <w:t xml:space="preserve">the </w:t>
      </w:r>
      <w:r w:rsidR="004A1C14">
        <w:t xml:space="preserve">Act, </w:t>
      </w:r>
      <w:r w:rsidR="009054C3">
        <w:t>this Part</w:t>
      </w:r>
      <w:r w:rsidR="004A1C14">
        <w:t xml:space="preserve">, or </w:t>
      </w:r>
      <w:r w:rsidR="006360A4" w:rsidRPr="00D85243">
        <w:t xml:space="preserve">the express </w:t>
      </w:r>
      <w:r w:rsidR="00A81F83">
        <w:t xml:space="preserve">authorization </w:t>
      </w:r>
      <w:r w:rsidR="006360A4" w:rsidRPr="00D85243">
        <w:t>of the Commission, a retail licensee</w:t>
      </w:r>
      <w:r w:rsidR="009054C3">
        <w:t xml:space="preserve"> shall</w:t>
      </w:r>
      <w:r w:rsidR="00D70BDF">
        <w:t xml:space="preserve"> purchase all alcoholic products subject to the jurisdiction of the Act</w:t>
      </w:r>
      <w:r w:rsidR="006360A4" w:rsidRPr="00D85243">
        <w:t xml:space="preserve">  from </w:t>
      </w:r>
      <w:r w:rsidR="00D70BDF">
        <w:t xml:space="preserve">an </w:t>
      </w:r>
      <w:r w:rsidR="00A81F83">
        <w:t xml:space="preserve">Illinois </w:t>
      </w:r>
      <w:r w:rsidR="00D70BDF">
        <w:t xml:space="preserve">licensed </w:t>
      </w:r>
      <w:r w:rsidR="006360A4" w:rsidRPr="00D85243">
        <w:t xml:space="preserve">distributor or </w:t>
      </w:r>
      <w:r w:rsidR="00A35253">
        <w:t>a licensee</w:t>
      </w:r>
      <w:r w:rsidR="006360A4" w:rsidRPr="00D85243">
        <w:t xml:space="preserve"> holding a self</w:t>
      </w:r>
      <w:r w:rsidR="003C0CC6">
        <w:t>-</w:t>
      </w:r>
      <w:r w:rsidR="006360A4" w:rsidRPr="00D85243">
        <w:t xml:space="preserve">distribution exemption in which there is a bona fide transfer of title.  </w:t>
      </w:r>
    </w:p>
    <w:p w:rsidR="00A81F83" w:rsidRDefault="00A81F83" w:rsidP="00E15247">
      <w:pPr>
        <w:widowControl w:val="0"/>
        <w:autoSpaceDE w:val="0"/>
        <w:autoSpaceDN w:val="0"/>
        <w:adjustRightInd w:val="0"/>
      </w:pPr>
    </w:p>
    <w:p w:rsidR="00A81F83" w:rsidRDefault="00A81F83" w:rsidP="002316D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Transfer of Alcohol Approval Process</w:t>
      </w:r>
    </w:p>
    <w:p w:rsidR="00A81F83" w:rsidRDefault="00A81F83" w:rsidP="00E15247">
      <w:pPr>
        <w:widowControl w:val="0"/>
        <w:autoSpaceDE w:val="0"/>
        <w:autoSpaceDN w:val="0"/>
        <w:adjustRightInd w:val="0"/>
      </w:pPr>
    </w:p>
    <w:p w:rsidR="00A81F83" w:rsidRPr="00860E75" w:rsidRDefault="00807C62" w:rsidP="00171730">
      <w:pPr>
        <w:pStyle w:val="ListParagraph"/>
        <w:ind w:left="2160" w:hanging="720"/>
        <w:rPr>
          <w:rFonts w:eastAsia="Calibri"/>
        </w:rPr>
      </w:pPr>
      <w:r>
        <w:t>1)</w:t>
      </w:r>
      <w:r w:rsidR="00A81F83">
        <w:tab/>
      </w:r>
      <w:r w:rsidR="00A81F83" w:rsidRPr="00860E75">
        <w:rPr>
          <w:rFonts w:eastAsia="Calibri"/>
        </w:rPr>
        <w:t>The Commission may authorize the holder of a retail license to sell, give, transfer, purchase, receive or accept alcoholic products subject to the Act</w:t>
      </w:r>
      <w:r w:rsidR="00655321">
        <w:rPr>
          <w:rFonts w:eastAsia="Calibri"/>
        </w:rPr>
        <w:t>,</w:t>
      </w:r>
      <w:r w:rsidR="00A81F83" w:rsidRPr="00860E75">
        <w:rPr>
          <w:rFonts w:eastAsia="Calibri"/>
        </w:rPr>
        <w:t xml:space="preserve"> to or from another holder of a retail license.</w:t>
      </w:r>
    </w:p>
    <w:p w:rsidR="00A81F83" w:rsidRPr="00860E75" w:rsidRDefault="00A81F83" w:rsidP="00E15247">
      <w:pPr>
        <w:contextualSpacing/>
        <w:rPr>
          <w:rFonts w:eastAsia="Calibri"/>
        </w:rPr>
      </w:pPr>
    </w:p>
    <w:p w:rsidR="00A81F83" w:rsidRPr="00860E75" w:rsidRDefault="00807C62" w:rsidP="00171730">
      <w:pPr>
        <w:ind w:left="2160" w:hanging="720"/>
        <w:contextualSpacing/>
        <w:rPr>
          <w:rFonts w:eastAsia="Calibri"/>
        </w:rPr>
      </w:pPr>
      <w:bookmarkStart w:id="0" w:name="_Hlk9521655"/>
      <w:r w:rsidRPr="00860E75">
        <w:rPr>
          <w:rFonts w:eastAsia="Calibri"/>
        </w:rPr>
        <w:t>2)</w:t>
      </w:r>
      <w:r w:rsidRPr="00860E75">
        <w:rPr>
          <w:rFonts w:eastAsia="Calibri"/>
        </w:rPr>
        <w:tab/>
      </w:r>
      <w:r w:rsidR="00A81F83" w:rsidRPr="00860E75">
        <w:rPr>
          <w:rFonts w:eastAsia="Calibri"/>
        </w:rPr>
        <w:t xml:space="preserve">The Commission may delegate </w:t>
      </w:r>
      <w:r w:rsidR="00171730" w:rsidRPr="00860E75">
        <w:rPr>
          <w:rFonts w:eastAsia="Calibri"/>
        </w:rPr>
        <w:t xml:space="preserve">to Commission staff </w:t>
      </w:r>
      <w:r w:rsidR="00A81F83" w:rsidRPr="00860E75">
        <w:rPr>
          <w:rFonts w:eastAsia="Calibri"/>
        </w:rPr>
        <w:t>the review, approval, or denial of the request to transfer alcohol.</w:t>
      </w:r>
    </w:p>
    <w:p w:rsidR="00A81F83" w:rsidRPr="00860E75" w:rsidRDefault="00A81F83" w:rsidP="00E15247">
      <w:pPr>
        <w:contextualSpacing/>
        <w:rPr>
          <w:rFonts w:eastAsia="Calibri"/>
        </w:rPr>
      </w:pPr>
    </w:p>
    <w:bookmarkEnd w:id="0"/>
    <w:p w:rsidR="00A81F83" w:rsidRPr="00860E75" w:rsidRDefault="00807C62" w:rsidP="00171730">
      <w:pPr>
        <w:ind w:left="1440"/>
        <w:contextualSpacing/>
        <w:rPr>
          <w:rFonts w:eastAsia="Calibri"/>
        </w:rPr>
      </w:pPr>
      <w:r w:rsidRPr="00860E75">
        <w:rPr>
          <w:rFonts w:eastAsia="Calibri"/>
        </w:rPr>
        <w:t>3)</w:t>
      </w:r>
      <w:r w:rsidRPr="00860E75">
        <w:rPr>
          <w:rFonts w:eastAsia="Calibri"/>
        </w:rPr>
        <w:tab/>
      </w:r>
      <w:r w:rsidR="00A81F83" w:rsidRPr="00860E75">
        <w:rPr>
          <w:rFonts w:eastAsia="Calibri"/>
        </w:rPr>
        <w:t xml:space="preserve">The request must be approved by the Commission prior to the transfer. </w:t>
      </w:r>
    </w:p>
    <w:p w:rsidR="00A81F83" w:rsidRPr="00860E75" w:rsidRDefault="00A81F83" w:rsidP="00E15247">
      <w:pPr>
        <w:contextualSpacing/>
        <w:rPr>
          <w:rFonts w:eastAsia="Calibri"/>
        </w:rPr>
      </w:pPr>
    </w:p>
    <w:p w:rsidR="00807C62" w:rsidRPr="00860E75" w:rsidRDefault="00807C62" w:rsidP="00171730">
      <w:pPr>
        <w:ind w:left="2160" w:hanging="720"/>
        <w:contextualSpacing/>
        <w:rPr>
          <w:rFonts w:eastAsia="Calibri"/>
        </w:rPr>
      </w:pPr>
      <w:r w:rsidRPr="00860E75">
        <w:rPr>
          <w:rFonts w:eastAsia="Calibri"/>
        </w:rPr>
        <w:t>4)</w:t>
      </w:r>
      <w:r w:rsidRPr="00860E75">
        <w:rPr>
          <w:rFonts w:eastAsia="Calibri"/>
        </w:rPr>
        <w:tab/>
      </w:r>
      <w:r w:rsidR="00A81F83" w:rsidRPr="00860E75">
        <w:rPr>
          <w:rFonts w:eastAsia="Calibri"/>
        </w:rPr>
        <w:t>The request shall be submitted on forms provided by the Commission. Forms must be completed in their entirety prior to review or approval by the Commission.</w:t>
      </w:r>
    </w:p>
    <w:p w:rsidR="00807C62" w:rsidRPr="00860E75" w:rsidRDefault="00807C62" w:rsidP="00E15247">
      <w:pPr>
        <w:contextualSpacing/>
        <w:rPr>
          <w:rFonts w:eastAsia="Calibri"/>
        </w:rPr>
      </w:pPr>
    </w:p>
    <w:p w:rsidR="00807C62" w:rsidRPr="00860E75" w:rsidRDefault="00807C62" w:rsidP="00171730">
      <w:pPr>
        <w:ind w:left="2160" w:hanging="720"/>
        <w:contextualSpacing/>
        <w:rPr>
          <w:rFonts w:eastAsia="Calibri"/>
        </w:rPr>
      </w:pPr>
      <w:r w:rsidRPr="00860E75">
        <w:rPr>
          <w:rFonts w:eastAsia="Calibri"/>
        </w:rPr>
        <w:t>5)</w:t>
      </w:r>
      <w:r w:rsidRPr="00860E75">
        <w:rPr>
          <w:rFonts w:eastAsia="Calibri"/>
        </w:rPr>
        <w:tab/>
      </w:r>
      <w:r w:rsidR="00A35253" w:rsidRPr="00860E75">
        <w:rPr>
          <w:rFonts w:eastAsia="Calibri"/>
        </w:rPr>
        <w:t>In normal circumstances, a</w:t>
      </w:r>
      <w:r w:rsidRPr="00860E75">
        <w:rPr>
          <w:rFonts w:eastAsia="Calibri"/>
        </w:rPr>
        <w:t xml:space="preserve"> request must be submitted </w:t>
      </w:r>
      <w:r w:rsidR="00860E75">
        <w:rPr>
          <w:rFonts w:eastAsia="Calibri"/>
        </w:rPr>
        <w:t>and approved by</w:t>
      </w:r>
      <w:r w:rsidRPr="00860E75">
        <w:rPr>
          <w:rFonts w:eastAsia="Calibri"/>
        </w:rPr>
        <w:t xml:space="preserve"> the Commission prior to the transfer</w:t>
      </w:r>
      <w:r w:rsidR="00A35253" w:rsidRPr="00860E75">
        <w:rPr>
          <w:rFonts w:eastAsia="Calibri"/>
        </w:rPr>
        <w:t>.  I</w:t>
      </w:r>
      <w:r w:rsidRPr="00860E75">
        <w:rPr>
          <w:rFonts w:eastAsia="Calibri"/>
        </w:rPr>
        <w:t xml:space="preserve">n </w:t>
      </w:r>
      <w:r w:rsidR="00A35253" w:rsidRPr="00860E75">
        <w:rPr>
          <w:rFonts w:eastAsia="Calibri"/>
        </w:rPr>
        <w:t xml:space="preserve">the case of </w:t>
      </w:r>
      <w:r w:rsidRPr="00860E75">
        <w:rPr>
          <w:rFonts w:eastAsia="Calibri"/>
        </w:rPr>
        <w:t>an imminent act of god</w:t>
      </w:r>
      <w:r w:rsidR="00171730" w:rsidRPr="00860E75">
        <w:rPr>
          <w:rFonts w:eastAsia="Calibri"/>
        </w:rPr>
        <w:t>,</w:t>
      </w:r>
      <w:r w:rsidRPr="00860E75">
        <w:rPr>
          <w:rFonts w:eastAsia="Calibri"/>
        </w:rPr>
        <w:t xml:space="preserve"> the request must be received prior to the transfer. </w:t>
      </w:r>
    </w:p>
    <w:p w:rsidR="00807C62" w:rsidRPr="00860E75" w:rsidRDefault="00807C62" w:rsidP="00E15247">
      <w:pPr>
        <w:contextualSpacing/>
        <w:rPr>
          <w:rFonts w:eastAsia="Calibri"/>
        </w:rPr>
      </w:pPr>
    </w:p>
    <w:p w:rsidR="00807C62" w:rsidRPr="00860E75" w:rsidRDefault="00807C62" w:rsidP="00171730">
      <w:pPr>
        <w:ind w:left="2160" w:hanging="720"/>
        <w:contextualSpacing/>
        <w:rPr>
          <w:rFonts w:eastAsia="Calibri"/>
        </w:rPr>
      </w:pPr>
      <w:r w:rsidRPr="00860E75">
        <w:rPr>
          <w:rFonts w:eastAsia="Calibri"/>
        </w:rPr>
        <w:t>6)</w:t>
      </w:r>
      <w:r w:rsidRPr="00860E75">
        <w:rPr>
          <w:rFonts w:eastAsia="Calibri"/>
        </w:rPr>
        <w:tab/>
        <w:t xml:space="preserve">The Commission will review each request based on the information provided in the request and other factors known to the </w:t>
      </w:r>
      <w:r w:rsidR="00171730" w:rsidRPr="00860E75">
        <w:rPr>
          <w:rFonts w:eastAsia="Calibri"/>
        </w:rPr>
        <w:t>C</w:t>
      </w:r>
      <w:r w:rsidRPr="00860E75">
        <w:rPr>
          <w:rFonts w:eastAsia="Calibri"/>
        </w:rPr>
        <w:t>ommission.</w:t>
      </w:r>
    </w:p>
    <w:p w:rsidR="00E242D0" w:rsidRPr="00860E75" w:rsidRDefault="00E242D0" w:rsidP="00E15247">
      <w:pPr>
        <w:contextualSpacing/>
        <w:rPr>
          <w:rFonts w:eastAsia="Calibri"/>
        </w:rPr>
      </w:pPr>
    </w:p>
    <w:p w:rsidR="00807C62" w:rsidRPr="00860E75" w:rsidRDefault="00E242D0" w:rsidP="00171730">
      <w:pPr>
        <w:ind w:left="2160" w:hanging="720"/>
        <w:contextualSpacing/>
        <w:rPr>
          <w:rFonts w:eastAsia="Calibri"/>
        </w:rPr>
      </w:pPr>
      <w:r w:rsidRPr="00860E75">
        <w:rPr>
          <w:rFonts w:eastAsia="Calibri"/>
        </w:rPr>
        <w:t>7)</w:t>
      </w:r>
      <w:r w:rsidRPr="00860E75">
        <w:rPr>
          <w:rFonts w:eastAsia="Calibri"/>
        </w:rPr>
        <w:tab/>
      </w:r>
      <w:r w:rsidR="00807C62" w:rsidRPr="00860E75">
        <w:rPr>
          <w:rFonts w:eastAsia="Calibri"/>
        </w:rPr>
        <w:t>Each request will be reviewed independent</w:t>
      </w:r>
      <w:r w:rsidR="00171730" w:rsidRPr="00860E75">
        <w:rPr>
          <w:rFonts w:eastAsia="Calibri"/>
        </w:rPr>
        <w:t>ly</w:t>
      </w:r>
      <w:r w:rsidR="00807C62" w:rsidRPr="00860E75">
        <w:rPr>
          <w:rFonts w:eastAsia="Calibri"/>
        </w:rPr>
        <w:t xml:space="preserve"> of any other licenses held by the owners.</w:t>
      </w:r>
    </w:p>
    <w:p w:rsidR="00807C62" w:rsidRPr="00807C62" w:rsidRDefault="00807C62" w:rsidP="00E15247">
      <w:pPr>
        <w:contextualSpacing/>
        <w:rPr>
          <w:rFonts w:eastAsia="Calibri"/>
          <w:u w:val="single"/>
        </w:rPr>
      </w:pPr>
    </w:p>
    <w:p w:rsidR="00807C62" w:rsidRPr="005554CD" w:rsidRDefault="00E242D0" w:rsidP="00171730">
      <w:pPr>
        <w:ind w:left="2160" w:hanging="711"/>
        <w:contextualSpacing/>
        <w:rPr>
          <w:rFonts w:eastAsia="Calibri"/>
        </w:rPr>
      </w:pPr>
      <w:r w:rsidRPr="005554CD">
        <w:rPr>
          <w:rFonts w:eastAsia="Calibri"/>
        </w:rPr>
        <w:t>8)</w:t>
      </w:r>
      <w:r w:rsidRPr="005554CD">
        <w:rPr>
          <w:rFonts w:eastAsia="Calibri"/>
        </w:rPr>
        <w:tab/>
      </w:r>
      <w:r w:rsidR="00807C62" w:rsidRPr="005554CD">
        <w:rPr>
          <w:rFonts w:eastAsia="Calibri"/>
        </w:rPr>
        <w:t xml:space="preserve">The authorization may be subject to conditions imposed by the Commission at the time of the approval. </w:t>
      </w:r>
    </w:p>
    <w:p w:rsidR="00807C62" w:rsidRPr="005554CD" w:rsidRDefault="00807C62" w:rsidP="00E15247">
      <w:pPr>
        <w:tabs>
          <w:tab w:val="left" w:pos="1440"/>
        </w:tabs>
        <w:contextualSpacing/>
        <w:rPr>
          <w:rFonts w:eastAsia="Calibri"/>
        </w:rPr>
      </w:pPr>
    </w:p>
    <w:p w:rsidR="00807C62" w:rsidRPr="005554CD" w:rsidRDefault="00E242D0" w:rsidP="00171730">
      <w:pPr>
        <w:ind w:left="2160" w:hanging="720"/>
        <w:contextualSpacing/>
        <w:rPr>
          <w:rFonts w:eastAsia="Calibri"/>
        </w:rPr>
      </w:pPr>
      <w:r w:rsidRPr="005554CD">
        <w:rPr>
          <w:rFonts w:eastAsia="Calibri"/>
        </w:rPr>
        <w:lastRenderedPageBreak/>
        <w:t>9)</w:t>
      </w:r>
      <w:r w:rsidRPr="005554CD">
        <w:rPr>
          <w:rFonts w:eastAsia="Calibri"/>
        </w:rPr>
        <w:tab/>
      </w:r>
      <w:r w:rsidR="00807C62" w:rsidRPr="005554CD">
        <w:rPr>
          <w:rFonts w:eastAsia="Calibri"/>
        </w:rPr>
        <w:t>Upon approval by the Commission, the licensee must maintain a copy of the authorization at its premises for a period of 90 days following approval or until all transferred products have been sold by the licensee</w:t>
      </w:r>
      <w:r w:rsidR="00171730" w:rsidRPr="005554CD">
        <w:rPr>
          <w:rFonts w:eastAsia="Calibri"/>
        </w:rPr>
        <w:t>,</w:t>
      </w:r>
      <w:r w:rsidR="00807C62" w:rsidRPr="005554CD">
        <w:rPr>
          <w:rFonts w:eastAsia="Calibri"/>
        </w:rPr>
        <w:t xml:space="preserve"> whichever is later.</w:t>
      </w:r>
    </w:p>
    <w:p w:rsidR="00807C62" w:rsidRPr="005554CD" w:rsidRDefault="00807C62" w:rsidP="00E15247">
      <w:pPr>
        <w:tabs>
          <w:tab w:val="left" w:pos="1440"/>
        </w:tabs>
        <w:contextualSpacing/>
        <w:rPr>
          <w:rFonts w:eastAsia="Calibri"/>
        </w:rPr>
      </w:pPr>
    </w:p>
    <w:p w:rsidR="00807C62" w:rsidRPr="005554CD" w:rsidRDefault="00E242D0" w:rsidP="00171730">
      <w:pPr>
        <w:tabs>
          <w:tab w:val="left" w:pos="1440"/>
        </w:tabs>
        <w:ind w:left="1440" w:hanging="720"/>
        <w:contextualSpacing/>
        <w:rPr>
          <w:rFonts w:eastAsia="Calibri"/>
        </w:rPr>
      </w:pPr>
      <w:r w:rsidRPr="005554CD">
        <w:rPr>
          <w:rFonts w:eastAsia="Calibri"/>
        </w:rPr>
        <w:t>e)</w:t>
      </w:r>
      <w:r w:rsidRPr="005554CD">
        <w:rPr>
          <w:rFonts w:eastAsia="Calibri"/>
        </w:rPr>
        <w:tab/>
      </w:r>
      <w:r w:rsidR="00807C62" w:rsidRPr="005554CD">
        <w:rPr>
          <w:rFonts w:eastAsia="Calibri"/>
        </w:rPr>
        <w:t>In reviewing a transfer request, the Commission may utilize the following factors:</w:t>
      </w:r>
    </w:p>
    <w:p w:rsidR="00807C62" w:rsidRPr="005554CD" w:rsidRDefault="00807C62" w:rsidP="00E15247">
      <w:pPr>
        <w:tabs>
          <w:tab w:val="left" w:pos="1440"/>
        </w:tabs>
        <w:contextualSpacing/>
        <w:rPr>
          <w:rFonts w:eastAsia="Calibri"/>
        </w:rPr>
      </w:pPr>
    </w:p>
    <w:p w:rsidR="00807C62" w:rsidRPr="005554CD" w:rsidRDefault="00E242D0" w:rsidP="00171730">
      <w:pPr>
        <w:ind w:left="2160" w:hanging="720"/>
        <w:contextualSpacing/>
        <w:rPr>
          <w:rFonts w:eastAsia="Calibri"/>
        </w:rPr>
      </w:pPr>
      <w:r w:rsidRPr="005554CD">
        <w:rPr>
          <w:rFonts w:eastAsia="Calibri"/>
          <w:shd w:val="clear" w:color="auto" w:fill="FFFFFF"/>
        </w:rPr>
        <w:t>1)</w:t>
      </w:r>
      <w:r w:rsidRPr="005554CD">
        <w:rPr>
          <w:rFonts w:eastAsia="Calibri"/>
          <w:shd w:val="clear" w:color="auto" w:fill="FFFFFF"/>
        </w:rPr>
        <w:tab/>
      </w:r>
      <w:r w:rsidR="00807C62" w:rsidRPr="005554CD">
        <w:rPr>
          <w:rFonts w:eastAsia="Calibri"/>
          <w:shd w:val="clear" w:color="auto" w:fill="FFFFFF"/>
        </w:rPr>
        <w:t>Acts of god (such as, but not limited to, fires, explosions, tornadoes, earthquakes, drought, and floods);</w:t>
      </w:r>
    </w:p>
    <w:p w:rsidR="00807C62" w:rsidRPr="005554CD" w:rsidRDefault="00807C62" w:rsidP="00E15247">
      <w:pPr>
        <w:contextualSpacing/>
        <w:rPr>
          <w:rFonts w:eastAsia="Calibri"/>
        </w:rPr>
      </w:pPr>
    </w:p>
    <w:p w:rsidR="00807C62" w:rsidRPr="005554CD" w:rsidRDefault="00E7729F" w:rsidP="00171730">
      <w:pPr>
        <w:ind w:left="1440"/>
        <w:contextualSpacing/>
        <w:rPr>
          <w:rFonts w:eastAsia="Calibri"/>
        </w:rPr>
      </w:pPr>
      <w:r w:rsidRPr="005554CD">
        <w:rPr>
          <w:rFonts w:eastAsia="Calibri"/>
          <w:shd w:val="clear" w:color="auto" w:fill="FFFFFF"/>
        </w:rPr>
        <w:t>2)</w:t>
      </w:r>
      <w:r w:rsidRPr="005554CD">
        <w:rPr>
          <w:rFonts w:eastAsia="Calibri"/>
          <w:shd w:val="clear" w:color="auto" w:fill="FFFFFF"/>
        </w:rPr>
        <w:tab/>
      </w:r>
      <w:r w:rsidR="00807C62" w:rsidRPr="005554CD">
        <w:rPr>
          <w:rFonts w:eastAsia="Calibri"/>
          <w:shd w:val="clear" w:color="auto" w:fill="FFFFFF"/>
        </w:rPr>
        <w:t xml:space="preserve">Federal, State, or </w:t>
      </w:r>
      <w:r w:rsidR="00171730" w:rsidRPr="005554CD">
        <w:rPr>
          <w:rFonts w:eastAsia="Calibri"/>
          <w:shd w:val="clear" w:color="auto" w:fill="FFFFFF"/>
        </w:rPr>
        <w:t>l</w:t>
      </w:r>
      <w:r w:rsidR="00807C62" w:rsidRPr="005554CD">
        <w:rPr>
          <w:rFonts w:eastAsia="Calibri"/>
          <w:shd w:val="clear" w:color="auto" w:fill="FFFFFF"/>
        </w:rPr>
        <w:t>ocal law change;</w:t>
      </w:r>
    </w:p>
    <w:p w:rsidR="00807C62" w:rsidRPr="00807C62" w:rsidRDefault="00807C62" w:rsidP="00E15247">
      <w:pPr>
        <w:contextualSpacing/>
        <w:rPr>
          <w:rFonts w:eastAsia="Calibri"/>
          <w:u w:val="single"/>
        </w:rPr>
      </w:pPr>
    </w:p>
    <w:p w:rsidR="00171730" w:rsidRDefault="00171730" w:rsidP="00171730">
      <w:pPr>
        <w:ind w:left="2160" w:hanging="720"/>
        <w:contextualSpacing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3</w:t>
      </w:r>
      <w:r w:rsidR="00E7729F">
        <w:rPr>
          <w:rFonts w:eastAsia="Calibri"/>
          <w:u w:val="single"/>
          <w:shd w:val="clear" w:color="auto" w:fill="FFFFFF"/>
        </w:rPr>
        <w:t>)</w:t>
      </w:r>
      <w:r w:rsidR="00E7729F">
        <w:rPr>
          <w:rFonts w:eastAsia="Calibri"/>
          <w:shd w:val="clear" w:color="auto" w:fill="FFFFFF"/>
        </w:rPr>
        <w:tab/>
      </w:r>
      <w:r w:rsidR="00807C62" w:rsidRPr="00807C62">
        <w:rPr>
          <w:rFonts w:eastAsia="Calibri"/>
          <w:shd w:val="clear" w:color="auto" w:fill="FFFFFF"/>
        </w:rPr>
        <w:t>Other unforeseeable circumstances beyond the control of the licensee</w:t>
      </w:r>
      <w:r w:rsidR="008208DF">
        <w:rPr>
          <w:rFonts w:eastAsia="Calibri"/>
          <w:shd w:val="clear" w:color="auto" w:fill="FFFFFF"/>
        </w:rPr>
        <w:t>, such as circumstances</w:t>
      </w:r>
      <w:r w:rsidR="00A35253">
        <w:rPr>
          <w:rFonts w:eastAsia="Calibri"/>
          <w:shd w:val="clear" w:color="auto" w:fill="FFFFFF"/>
        </w:rPr>
        <w:t>:</w:t>
      </w:r>
    </w:p>
    <w:p w:rsidR="00171730" w:rsidRDefault="00171730" w:rsidP="00E15247">
      <w:pPr>
        <w:contextualSpacing/>
        <w:rPr>
          <w:rFonts w:eastAsia="Calibri"/>
          <w:shd w:val="clear" w:color="auto" w:fill="FFFFFF"/>
        </w:rPr>
      </w:pPr>
    </w:p>
    <w:p w:rsidR="00171730" w:rsidRDefault="00171730" w:rsidP="00171730">
      <w:pPr>
        <w:ind w:left="2880" w:hanging="720"/>
        <w:contextualSpacing/>
        <w:rPr>
          <w:rFonts w:eastAsia="Calibri"/>
          <w:shd w:val="clear" w:color="auto" w:fill="FFFFFF"/>
        </w:rPr>
      </w:pPr>
      <w:r>
        <w:rPr>
          <w:rFonts w:eastAsia="Calibri"/>
          <w:shd w:val="clear" w:color="auto" w:fill="FFFFFF"/>
        </w:rPr>
        <w:t>A)</w:t>
      </w:r>
      <w:r>
        <w:rPr>
          <w:rFonts w:eastAsia="Calibri"/>
          <w:shd w:val="clear" w:color="auto" w:fill="FFFFFF"/>
        </w:rPr>
        <w:tab/>
      </w:r>
      <w:r w:rsidR="00807C62" w:rsidRPr="00807C62">
        <w:rPr>
          <w:rFonts w:eastAsia="Calibri"/>
          <w:shd w:val="clear" w:color="auto" w:fill="FFFFFF"/>
        </w:rPr>
        <w:t>the licensee cannot reasonably take precautions to prevent</w:t>
      </w:r>
      <w:r>
        <w:rPr>
          <w:rFonts w:eastAsia="Calibri"/>
          <w:shd w:val="clear" w:color="auto" w:fill="FFFFFF"/>
        </w:rPr>
        <w:t>;</w:t>
      </w:r>
      <w:r w:rsidR="00807C62" w:rsidRPr="00807C62">
        <w:rPr>
          <w:rFonts w:eastAsia="Calibri"/>
          <w:shd w:val="clear" w:color="auto" w:fill="FFFFFF"/>
        </w:rPr>
        <w:t xml:space="preserve"> and </w:t>
      </w:r>
    </w:p>
    <w:p w:rsidR="00171730" w:rsidRDefault="00171730" w:rsidP="00E15247">
      <w:pPr>
        <w:contextualSpacing/>
        <w:rPr>
          <w:rFonts w:eastAsia="Calibri"/>
          <w:shd w:val="clear" w:color="auto" w:fill="FFFFFF"/>
        </w:rPr>
      </w:pPr>
    </w:p>
    <w:p w:rsidR="00807C62" w:rsidRPr="00807C62" w:rsidRDefault="00171730" w:rsidP="00171730">
      <w:pPr>
        <w:ind w:left="2880" w:hanging="720"/>
        <w:contextualSpacing/>
        <w:rPr>
          <w:rFonts w:eastAsia="Calibri"/>
        </w:rPr>
      </w:pPr>
      <w:r>
        <w:rPr>
          <w:rFonts w:eastAsia="Calibri"/>
          <w:shd w:val="clear" w:color="auto" w:fill="FFFFFF"/>
        </w:rPr>
        <w:t>B)</w:t>
      </w:r>
      <w:r>
        <w:rPr>
          <w:rFonts w:eastAsia="Calibri"/>
          <w:shd w:val="clear" w:color="auto" w:fill="FFFFFF"/>
        </w:rPr>
        <w:tab/>
      </w:r>
      <w:r w:rsidR="00807C62" w:rsidRPr="00807C62">
        <w:rPr>
          <w:rFonts w:eastAsia="Calibri"/>
          <w:shd w:val="clear" w:color="auto" w:fill="FFFFFF"/>
        </w:rPr>
        <w:t>in which the only reasonable method of dispossessing of the alcoholic liquor products would be through a transfer to another licensee;</w:t>
      </w:r>
    </w:p>
    <w:p w:rsidR="00807C62" w:rsidRPr="00807C62" w:rsidRDefault="00807C62" w:rsidP="00E15247">
      <w:pPr>
        <w:contextualSpacing/>
        <w:rPr>
          <w:rFonts w:eastAsia="Calibri"/>
        </w:rPr>
      </w:pPr>
    </w:p>
    <w:p w:rsidR="00807C62" w:rsidRPr="005554CD" w:rsidRDefault="00E7729F" w:rsidP="00171730">
      <w:pPr>
        <w:ind w:left="2160" w:hanging="720"/>
        <w:contextualSpacing/>
        <w:rPr>
          <w:rFonts w:eastAsia="Calibri"/>
        </w:rPr>
      </w:pPr>
      <w:r>
        <w:rPr>
          <w:rFonts w:eastAsia="Calibri"/>
        </w:rPr>
        <w:t>4)</w:t>
      </w:r>
      <w:r>
        <w:rPr>
          <w:rFonts w:eastAsia="Calibri"/>
        </w:rPr>
        <w:tab/>
      </w:r>
      <w:r w:rsidR="00807C62" w:rsidRPr="005554CD">
        <w:rPr>
          <w:rFonts w:eastAsia="Calibri"/>
        </w:rPr>
        <w:t>Bankruptcy;</w:t>
      </w:r>
    </w:p>
    <w:p w:rsidR="00807C62" w:rsidRPr="005554CD" w:rsidRDefault="00807C62" w:rsidP="00E15247">
      <w:pPr>
        <w:contextualSpacing/>
        <w:rPr>
          <w:rFonts w:eastAsia="Calibri"/>
        </w:rPr>
      </w:pPr>
    </w:p>
    <w:p w:rsidR="00807C62" w:rsidRPr="005554CD" w:rsidRDefault="00E7729F" w:rsidP="00171730">
      <w:pPr>
        <w:ind w:left="2160" w:hanging="720"/>
        <w:contextualSpacing/>
        <w:rPr>
          <w:rFonts w:eastAsia="Calibri"/>
        </w:rPr>
      </w:pPr>
      <w:r w:rsidRPr="005554CD">
        <w:rPr>
          <w:rFonts w:eastAsia="Calibri"/>
        </w:rPr>
        <w:t>5)</w:t>
      </w:r>
      <w:r w:rsidRPr="005554CD">
        <w:rPr>
          <w:rFonts w:eastAsia="Calibri"/>
        </w:rPr>
        <w:tab/>
      </w:r>
      <w:r w:rsidR="00807C62" w:rsidRPr="005554CD">
        <w:rPr>
          <w:rFonts w:eastAsia="Calibri"/>
        </w:rPr>
        <w:t>Permanent or temporary closure of the licensee;</w:t>
      </w:r>
      <w:r w:rsidR="00171730" w:rsidRPr="005554CD">
        <w:rPr>
          <w:rFonts w:eastAsia="Calibri"/>
        </w:rPr>
        <w:t xml:space="preserve"> or</w:t>
      </w:r>
    </w:p>
    <w:p w:rsidR="00807C62" w:rsidRPr="00807C62" w:rsidRDefault="00807C62" w:rsidP="00E15247">
      <w:pPr>
        <w:contextualSpacing/>
        <w:rPr>
          <w:rFonts w:eastAsia="Calibri"/>
          <w:u w:val="single"/>
        </w:rPr>
      </w:pPr>
    </w:p>
    <w:p w:rsidR="00807C62" w:rsidRPr="00807C62" w:rsidRDefault="00E7729F" w:rsidP="00171730">
      <w:pPr>
        <w:ind w:left="2160" w:hanging="720"/>
        <w:contextualSpacing/>
        <w:rPr>
          <w:rFonts w:eastAsia="Calibri"/>
          <w:u w:val="single"/>
        </w:rPr>
      </w:pPr>
      <w:r w:rsidRPr="00E15247">
        <w:rPr>
          <w:rFonts w:eastAsia="Calibri"/>
        </w:rPr>
        <w:t>6)</w:t>
      </w:r>
      <w:r w:rsidRPr="00E7729F">
        <w:rPr>
          <w:rFonts w:eastAsia="Calibri"/>
        </w:rPr>
        <w:tab/>
      </w:r>
      <w:r w:rsidR="003439D2">
        <w:rPr>
          <w:rFonts w:eastAsia="Calibri"/>
        </w:rPr>
        <w:t>A new licensee opens a business at the same location where the prior licensee conducted business, when the new licensee takes possession of the inventory of the immediately prior licensee</w:t>
      </w:r>
      <w:r w:rsidR="00EA4D92">
        <w:rPr>
          <w:rFonts w:eastAsia="Calibri"/>
        </w:rPr>
        <w:t>.</w:t>
      </w:r>
    </w:p>
    <w:p w:rsidR="00807C62" w:rsidRPr="00807C62" w:rsidRDefault="00807C62" w:rsidP="00E15247">
      <w:pPr>
        <w:contextualSpacing/>
        <w:rPr>
          <w:rFonts w:eastAsia="Calibri"/>
          <w:u w:val="single"/>
        </w:rPr>
      </w:pPr>
    </w:p>
    <w:p w:rsidR="00807C62" w:rsidRPr="005554CD" w:rsidRDefault="00E7729F" w:rsidP="00171730">
      <w:pPr>
        <w:tabs>
          <w:tab w:val="left" w:pos="720"/>
        </w:tabs>
        <w:ind w:left="1440" w:hanging="720"/>
        <w:contextualSpacing/>
        <w:rPr>
          <w:rFonts w:eastAsia="Calibri"/>
        </w:rPr>
      </w:pPr>
      <w:r w:rsidRPr="00E15247">
        <w:rPr>
          <w:rFonts w:eastAsia="Calibri"/>
        </w:rPr>
        <w:t>f)</w:t>
      </w:r>
      <w:r w:rsidRPr="00E7729F">
        <w:rPr>
          <w:rFonts w:eastAsia="Calibri"/>
        </w:rPr>
        <w:tab/>
      </w:r>
      <w:r w:rsidR="00807C62" w:rsidRPr="005554CD">
        <w:rPr>
          <w:rFonts w:eastAsia="Calibri"/>
        </w:rPr>
        <w:t xml:space="preserve">This </w:t>
      </w:r>
      <w:r w:rsidR="00171730" w:rsidRPr="005554CD">
        <w:rPr>
          <w:rFonts w:eastAsia="Calibri"/>
        </w:rPr>
        <w:t>Section</w:t>
      </w:r>
      <w:r w:rsidR="00807C62" w:rsidRPr="005554CD">
        <w:rPr>
          <w:rFonts w:eastAsia="Calibri"/>
        </w:rPr>
        <w:t xml:space="preserve"> shall not apply to transfers made </w:t>
      </w:r>
      <w:r w:rsidR="00171730" w:rsidRPr="005554CD">
        <w:rPr>
          <w:rFonts w:eastAsia="Calibri"/>
        </w:rPr>
        <w:t>under S</w:t>
      </w:r>
      <w:r w:rsidR="00807C62" w:rsidRPr="005554CD">
        <w:rPr>
          <w:rFonts w:eastAsia="Calibri"/>
        </w:rPr>
        <w:t xml:space="preserve">ection 100.150 </w:t>
      </w:r>
      <w:r w:rsidR="00171730" w:rsidRPr="005554CD">
        <w:rPr>
          <w:rFonts w:eastAsia="Calibri"/>
        </w:rPr>
        <w:t>(</w:t>
      </w:r>
      <w:r w:rsidR="00807C62" w:rsidRPr="005554CD">
        <w:rPr>
          <w:rFonts w:eastAsia="Calibri"/>
        </w:rPr>
        <w:t>Salvaged Alcoholic Liquors</w:t>
      </w:r>
      <w:r w:rsidR="00171730" w:rsidRPr="005554CD">
        <w:rPr>
          <w:rFonts w:eastAsia="Calibri"/>
        </w:rPr>
        <w:t>)</w:t>
      </w:r>
      <w:r w:rsidR="00807C62" w:rsidRPr="005554CD">
        <w:rPr>
          <w:rFonts w:eastAsia="Calibri"/>
        </w:rPr>
        <w:t>.</w:t>
      </w:r>
    </w:p>
    <w:p w:rsidR="00807C62" w:rsidRPr="005554CD" w:rsidRDefault="00807C62" w:rsidP="00E15247">
      <w:pPr>
        <w:contextualSpacing/>
        <w:jc w:val="both"/>
        <w:rPr>
          <w:rFonts w:eastAsia="Calibri"/>
        </w:rPr>
      </w:pPr>
    </w:p>
    <w:p w:rsidR="00807C62" w:rsidRPr="00807C62" w:rsidRDefault="00E7729F" w:rsidP="00171730">
      <w:pPr>
        <w:ind w:left="1440" w:hanging="720"/>
        <w:contextualSpacing/>
        <w:rPr>
          <w:rFonts w:eastAsia="Calibri"/>
          <w:u w:val="single"/>
        </w:rPr>
      </w:pPr>
      <w:r w:rsidRPr="005554CD">
        <w:rPr>
          <w:rFonts w:eastAsia="Calibri"/>
        </w:rPr>
        <w:t>g)</w:t>
      </w:r>
      <w:r w:rsidRPr="005554CD">
        <w:rPr>
          <w:rFonts w:eastAsia="Calibri"/>
        </w:rPr>
        <w:tab/>
      </w:r>
      <w:r w:rsidR="00807C62" w:rsidRPr="005554CD">
        <w:rPr>
          <w:rFonts w:eastAsia="Calibri"/>
        </w:rPr>
        <w:t xml:space="preserve">For the purposes of this Section, </w:t>
      </w:r>
      <w:r w:rsidR="00171730" w:rsidRPr="005554CD">
        <w:rPr>
          <w:rFonts w:eastAsia="Calibri"/>
        </w:rPr>
        <w:t>"</w:t>
      </w:r>
      <w:r w:rsidR="00807C62" w:rsidRPr="005554CD">
        <w:rPr>
          <w:rFonts w:eastAsia="Calibri"/>
        </w:rPr>
        <w:t>retail license</w:t>
      </w:r>
      <w:r w:rsidR="00171730" w:rsidRPr="005554CD">
        <w:rPr>
          <w:rFonts w:eastAsia="Calibri"/>
        </w:rPr>
        <w:t>"</w:t>
      </w:r>
      <w:r w:rsidR="00807C62" w:rsidRPr="005554CD">
        <w:rPr>
          <w:rFonts w:eastAsia="Calibri"/>
        </w:rPr>
        <w:t xml:space="preserve"> shall include the following licenses:</w:t>
      </w:r>
      <w:r w:rsidR="007F4BE2" w:rsidRPr="005554CD">
        <w:rPr>
          <w:rFonts w:eastAsia="Calibri"/>
        </w:rPr>
        <w:t xml:space="preserve"> </w:t>
      </w:r>
      <w:r w:rsidR="00807C62" w:rsidRPr="005554CD">
        <w:rPr>
          <w:rFonts w:eastAsia="Calibri"/>
        </w:rPr>
        <w:t xml:space="preserve"> </w:t>
      </w:r>
      <w:r w:rsidR="00807C62" w:rsidRPr="005554CD">
        <w:rPr>
          <w:rFonts w:eastAsia="Calibri"/>
          <w:i/>
        </w:rPr>
        <w:t>retailer, caterer retailer, Special Event Retailer's (not-for-profit), railroad, boat, wine</w:t>
      </w:r>
      <w:r w:rsidR="003439D2" w:rsidRPr="005554CD">
        <w:rPr>
          <w:rFonts w:eastAsia="Calibri"/>
          <w:i/>
        </w:rPr>
        <w:t xml:space="preserve"> </w:t>
      </w:r>
      <w:r w:rsidR="00807C62" w:rsidRPr="005554CD">
        <w:rPr>
          <w:rFonts w:eastAsia="Calibri"/>
          <w:i/>
        </w:rPr>
        <w:t>maker</w:t>
      </w:r>
      <w:r w:rsidRPr="005554CD">
        <w:rPr>
          <w:rFonts w:eastAsia="Calibri"/>
          <w:i/>
        </w:rPr>
        <w:t>'</w:t>
      </w:r>
      <w:r w:rsidR="00807C62" w:rsidRPr="005554CD">
        <w:rPr>
          <w:rFonts w:eastAsia="Calibri"/>
          <w:i/>
        </w:rPr>
        <w:t>s premises, airplane, brew pub</w:t>
      </w:r>
      <w:r w:rsidR="00860E75" w:rsidRPr="005554CD">
        <w:rPr>
          <w:rFonts w:eastAsia="Calibri"/>
          <w:i/>
        </w:rPr>
        <w:t>, and distiller pub</w:t>
      </w:r>
      <w:r w:rsidR="00807C62" w:rsidRPr="005554CD">
        <w:rPr>
          <w:rFonts w:eastAsia="Calibri"/>
          <w:i/>
        </w:rPr>
        <w:t xml:space="preserve"> licenses</w:t>
      </w:r>
      <w:r w:rsidR="00C964E0" w:rsidRPr="005554CD">
        <w:rPr>
          <w:rFonts w:eastAsia="Calibri"/>
          <w:i/>
        </w:rPr>
        <w:t xml:space="preserve"> </w:t>
      </w:r>
      <w:r w:rsidR="00C964E0" w:rsidRPr="005554CD">
        <w:rPr>
          <w:rFonts w:eastAsia="Calibri"/>
        </w:rPr>
        <w:t>(Section 5-1 of the Act)</w:t>
      </w:r>
      <w:r w:rsidR="00807C62" w:rsidRPr="005554CD">
        <w:rPr>
          <w:rFonts w:eastAsia="Calibri"/>
        </w:rPr>
        <w:t xml:space="preserve">. </w:t>
      </w:r>
    </w:p>
    <w:p w:rsidR="00807C62" w:rsidRDefault="00807C62" w:rsidP="00E15247">
      <w:pPr>
        <w:tabs>
          <w:tab w:val="left" w:pos="1440"/>
        </w:tabs>
        <w:contextualSpacing/>
        <w:jc w:val="both"/>
        <w:rPr>
          <w:rFonts w:eastAsia="Calibri"/>
          <w:u w:val="single"/>
        </w:rPr>
      </w:pPr>
      <w:bookmarkStart w:id="1" w:name="_GoBack"/>
      <w:bookmarkEnd w:id="1"/>
    </w:p>
    <w:p w:rsidR="00A81F83" w:rsidRDefault="007F4BE2" w:rsidP="00182BF2">
      <w:pPr>
        <w:tabs>
          <w:tab w:val="left" w:pos="1440"/>
        </w:tabs>
        <w:ind w:left="720"/>
        <w:contextualSpacing/>
        <w:jc w:val="both"/>
      </w:pPr>
      <w:r w:rsidRPr="007F4BE2">
        <w:rPr>
          <w:rFonts w:eastAsia="Calibri"/>
        </w:rPr>
        <w:t>(Source:  Amended at 4</w:t>
      </w:r>
      <w:r w:rsidR="003B0BFC">
        <w:rPr>
          <w:rFonts w:eastAsia="Calibri"/>
        </w:rPr>
        <w:t>4</w:t>
      </w:r>
      <w:r w:rsidRPr="007F4BE2">
        <w:rPr>
          <w:rFonts w:eastAsia="Calibri"/>
        </w:rPr>
        <w:t xml:space="preserve"> Ill. Reg. </w:t>
      </w:r>
      <w:r w:rsidR="0082292E">
        <w:rPr>
          <w:rFonts w:eastAsia="Calibri"/>
        </w:rPr>
        <w:t>16811</w:t>
      </w:r>
      <w:r w:rsidRPr="007F4BE2">
        <w:rPr>
          <w:rFonts w:eastAsia="Calibri"/>
        </w:rPr>
        <w:t xml:space="preserve">, effective </w:t>
      </w:r>
      <w:r w:rsidR="0082292E">
        <w:rPr>
          <w:rFonts w:eastAsia="Calibri"/>
        </w:rPr>
        <w:t>September 29, 2020</w:t>
      </w:r>
      <w:r w:rsidRPr="007F4BE2">
        <w:rPr>
          <w:rFonts w:eastAsia="Calibri"/>
        </w:rPr>
        <w:t>)</w:t>
      </w:r>
    </w:p>
    <w:sectPr w:rsidR="00A81F83" w:rsidSect="00182BF2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13009"/>
    <w:multiLevelType w:val="hybridMultilevel"/>
    <w:tmpl w:val="C454786A"/>
    <w:lvl w:ilvl="0" w:tplc="1A2A1C3A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single"/>
        <w:effect w:val="none"/>
      </w:rPr>
    </w:lvl>
    <w:lvl w:ilvl="1" w:tplc="FD8EEA9C">
      <w:start w:val="1"/>
      <w:numFmt w:val="decimal"/>
      <w:lvlText w:val="%2)"/>
      <w:lvlJc w:val="left"/>
      <w:pPr>
        <w:ind w:left="1440" w:hanging="360"/>
      </w:pPr>
      <w:rPr>
        <w:u w:val="single"/>
      </w:rPr>
    </w:lvl>
    <w:lvl w:ilvl="2" w:tplc="04090015">
      <w:start w:val="1"/>
      <w:numFmt w:val="upp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7CC7"/>
    <w:rsid w:val="00037AE9"/>
    <w:rsid w:val="00171730"/>
    <w:rsid w:val="00182BF2"/>
    <w:rsid w:val="002316D9"/>
    <w:rsid w:val="003439D2"/>
    <w:rsid w:val="00367E09"/>
    <w:rsid w:val="003B0BFC"/>
    <w:rsid w:val="003C0CC6"/>
    <w:rsid w:val="004A1C14"/>
    <w:rsid w:val="004F7CC7"/>
    <w:rsid w:val="005554CD"/>
    <w:rsid w:val="00636091"/>
    <w:rsid w:val="006360A4"/>
    <w:rsid w:val="00655321"/>
    <w:rsid w:val="0076667E"/>
    <w:rsid w:val="007B3BF3"/>
    <w:rsid w:val="007F4BE2"/>
    <w:rsid w:val="00807C62"/>
    <w:rsid w:val="008208DF"/>
    <w:rsid w:val="0082292E"/>
    <w:rsid w:val="00851E3D"/>
    <w:rsid w:val="00860E75"/>
    <w:rsid w:val="008C25E7"/>
    <w:rsid w:val="008E0F82"/>
    <w:rsid w:val="009054C3"/>
    <w:rsid w:val="00945A94"/>
    <w:rsid w:val="00A35253"/>
    <w:rsid w:val="00A81F83"/>
    <w:rsid w:val="00AC1E90"/>
    <w:rsid w:val="00B05327"/>
    <w:rsid w:val="00C964E0"/>
    <w:rsid w:val="00CC1CD8"/>
    <w:rsid w:val="00D70BDF"/>
    <w:rsid w:val="00D85243"/>
    <w:rsid w:val="00E15247"/>
    <w:rsid w:val="00E242D0"/>
    <w:rsid w:val="00E7729F"/>
    <w:rsid w:val="00EA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AFCC1D7-683C-4965-9D53-3659677F3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F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Lane, Arlene L.</cp:lastModifiedBy>
  <cp:revision>6</cp:revision>
  <dcterms:created xsi:type="dcterms:W3CDTF">2020-03-30T18:16:00Z</dcterms:created>
  <dcterms:modified xsi:type="dcterms:W3CDTF">2020-10-13T18:44:00Z</dcterms:modified>
</cp:coreProperties>
</file>