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22" w:rsidRDefault="00D21E22" w:rsidP="00D21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E22" w:rsidRDefault="00D21E22" w:rsidP="00D21E22">
      <w:pPr>
        <w:widowControl w:val="0"/>
        <w:autoSpaceDE w:val="0"/>
        <w:autoSpaceDN w:val="0"/>
        <w:adjustRightInd w:val="0"/>
      </w:pPr>
      <w:r>
        <w:t xml:space="preserve">SOURCE:  Adopted and effective June 28, 1972; old rules repealed at 6 Ill. Reg. 3551, effective March 23, 1982; new rules adopted at 6 Ill. Reg. 3552, effective March 23, 1982; codified at 8 Ill. Reg. 4891. </w:t>
      </w:r>
      <w:r>
        <w:tab/>
      </w:r>
    </w:p>
    <w:sectPr w:rsidR="00D21E22" w:rsidSect="00D21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E22"/>
    <w:rsid w:val="001678D1"/>
    <w:rsid w:val="00510C05"/>
    <w:rsid w:val="008F37ED"/>
    <w:rsid w:val="00CE08FE"/>
    <w:rsid w:val="00D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effective June 28, 1972; old rules repealed at 6 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effective June 28, 1972; old rules repealed at 6 Ill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