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1E" w:rsidRDefault="00A9721E" w:rsidP="00A972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721E" w:rsidRDefault="00A9721E" w:rsidP="00A9721E">
      <w:pPr>
        <w:widowControl w:val="0"/>
        <w:autoSpaceDE w:val="0"/>
        <w:autoSpaceDN w:val="0"/>
        <w:adjustRightInd w:val="0"/>
      </w:pPr>
      <w:r>
        <w:t>SOURCE:  Public Information and Rulemaking rules filed and effective December 30, 1977; Organization rules adopted at 2 Ill. Reg. 37, p. 361, effective August 30, 1978; codified at 7 Ill. Reg. 14750.</w:t>
      </w:r>
    </w:p>
    <w:sectPr w:rsidR="00A9721E" w:rsidSect="00A972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21E"/>
    <w:rsid w:val="001678D1"/>
    <w:rsid w:val="001910A7"/>
    <w:rsid w:val="005708FE"/>
    <w:rsid w:val="00A9721E"/>
    <w:rsid w:val="00AD738A"/>
    <w:rsid w:val="00BC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Public Information and Rulemaking rules filed and effective December 30, 1977; Organization rules adopted at 2 Ill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Public Information and Rulemaking rules filed and effective December 30, 1977; Organization rules adopted at 2 Ill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